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MY TOTEM FLEXAVIT для суставов для собак, 200 г</w:t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Функциональный корм с хондропротекторным действием</w:t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ОПИСАНИЕ:</w:t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FLEXAVIT - обеспечивает организм веществами, необходимыми для нормальной работы суставов, связок, сухожилий, хрящей.</w:t>
      </w:r>
    </w:p>
    <w:p>
      <w:pPr>
        <w:pStyle w:val="Normal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Способствует восстановлению суставов.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Препятствует разрушению хрящевых поверхностей.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Укрепляет ушные хрящи щенкам.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Обеспечивает «строительным материалом» в период активного роста.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0" w:leader="none"/>
        </w:tabs>
        <w:spacing w:before="114" w:after="114"/>
        <w:rPr/>
      </w:pPr>
      <w:r>
        <w:rPr>
          <w:rFonts w:cs="Times New Roman" w:ascii="Times New Roman" w:hAnsi="Times New Roman"/>
        </w:rPr>
        <w:t>Тормозит возрастные изменения суставов.</w:t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Хондропротекторное действие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- помогает избежать проблем с суставами у собак и щенков крупных или длинных пород.</w:t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Форма порошка и мерная ложка - удобно дозировать, легко подмешивать в основной корм.</w:t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Совместим со специализированными кормами для суставов.</w:t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center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Инструкция по применению</w:t>
      </w:r>
    </w:p>
    <w:p>
      <w:pPr>
        <w:pStyle w:val="Normal"/>
        <w:jc w:val="center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MY TOTEM FLEXAVIT для суставов для собак</w:t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tabs>
          <w:tab w:val="clear" w:pos="709"/>
          <w:tab w:val="left" w:pos="0" w:leader="none"/>
        </w:tabs>
        <w:ind w:left="0" w:right="0" w:hanging="0"/>
        <w:rPr>
          <w:rFonts w:ascii="Times New Roman" w:hAnsi="Times New Roman" w:cs="Times New Roman"/>
          <w:b/>
          <w:b/>
          <w:bCs/>
          <w:u w:val="single"/>
        </w:rPr>
      </w:pPr>
      <w:r>
        <w:rPr>
          <w:rFonts w:cs="Times New Roman" w:ascii="Times New Roman" w:hAnsi="Times New Roman"/>
          <w:b/>
          <w:bCs/>
          <w:u w:val="single"/>
        </w:rPr>
        <w:t>Назначение: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MY TOTEM FLEXAVIT для суставов для собак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предназначен для систематического приема в составе кормовых рационов, обеспечивает поступление в организм животного «строительных» веществ, необходимых для нормальной работы суставов, связок, укрепления ушных хрящей.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Коллаген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участвует в формировании и восстановлении суставов.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Глюкозамин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стимулирует продукцию внутрисуставной жидкости.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Сера, витамины С и D3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– комплекс для синтеза суставного коллагена и соединительной ткани.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Функциональный корм представляет собой мелкодисперсный, хорошо сыпучий порошок, без комков, с запахом, свойственным набору входящих в рецепт компонентов, не допускается плесневый, гнилостный и другие посторонние запахи.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Выпускается расфасованным по 200 г в банки из полиэтиленфталата с крышками из полиолефинов, каждая упаковка снабжается отсекателем и мерной ложкой. Допускается использование других упаковочных материалов, аналогичного качества, разрешенных для использования в установленном порядке.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/>
          <w:b/>
          <w:bCs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Особенности использования:</w:t>
      </w:r>
    </w:p>
    <w:p>
      <w:pPr>
        <w:pStyle w:val="Normal"/>
        <w:ind w:left="0" w:right="0" w:hanging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Возможна индивидуальная повышенная чувствительность отдельных компонентов.</w:t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Способ применения:</w:t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Порцию в соответствии с весом собаки добавляют 1 раз в сутки в корм (сухой сначала увлажнить).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Порция: 2 мерные ложки (1 г) на 10 кг веса. Собакам менее 10 кг – 1 ложка.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Минимальный курс приема 30 дней. Рекомендуемый курс 3-6 месяцев.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1 мерная ложка = 0,5 г/1 мл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before="114" w:after="114"/>
        <w:jc w:val="left"/>
        <w:rPr/>
      </w:pPr>
      <w:r>
        <w:rPr>
          <w:b w:val="false"/>
          <w:bCs w:val="false"/>
          <w:sz w:val="24"/>
          <w:szCs w:val="24"/>
        </w:rPr>
        <w:t>Собакам весом до 10 кг - 0,5 г порошка (1 мерная ложка).</w:t>
      </w:r>
    </w:p>
    <w:p>
      <w:pPr>
        <w:pStyle w:val="Normal"/>
        <w:numPr>
          <w:ilvl w:val="0"/>
          <w:numId w:val="2"/>
        </w:numPr>
        <w:spacing w:before="114" w:after="114"/>
        <w:jc w:val="left"/>
        <w:rPr/>
      </w:pPr>
      <w:r>
        <w:rPr>
          <w:b w:val="false"/>
          <w:bCs w:val="false"/>
          <w:sz w:val="24"/>
          <w:szCs w:val="24"/>
        </w:rPr>
        <w:t>Собакам весом 10 кг - 1 г порошка (2 мерных ложки).</w:t>
      </w:r>
    </w:p>
    <w:p>
      <w:pPr>
        <w:pStyle w:val="Normal"/>
        <w:numPr>
          <w:ilvl w:val="0"/>
          <w:numId w:val="2"/>
        </w:numPr>
        <w:spacing w:before="114" w:after="114"/>
        <w:jc w:val="left"/>
        <w:rPr/>
      </w:pPr>
      <w:r>
        <w:rPr>
          <w:b w:val="false"/>
          <w:bCs w:val="false"/>
          <w:sz w:val="24"/>
          <w:szCs w:val="24"/>
        </w:rPr>
        <w:t>Собакам весом 20 кг - 2 г порошка (4 мерных ложки).</w:t>
      </w:r>
    </w:p>
    <w:p>
      <w:pPr>
        <w:pStyle w:val="Normal"/>
        <w:numPr>
          <w:ilvl w:val="0"/>
          <w:numId w:val="2"/>
        </w:numPr>
        <w:spacing w:before="114" w:after="114"/>
        <w:jc w:val="left"/>
        <w:rPr/>
      </w:pPr>
      <w:r>
        <w:rPr>
          <w:b w:val="false"/>
          <w:bCs w:val="false"/>
          <w:sz w:val="24"/>
          <w:szCs w:val="24"/>
        </w:rPr>
        <w:t>Собакам весом 30 кг - 3 г порошка (6 мерных ложки).</w:t>
      </w:r>
    </w:p>
    <w:p>
      <w:pPr>
        <w:pStyle w:val="Normal"/>
        <w:numPr>
          <w:ilvl w:val="0"/>
          <w:numId w:val="2"/>
        </w:numPr>
        <w:spacing w:before="114" w:after="114"/>
        <w:jc w:val="left"/>
        <w:rPr/>
      </w:pPr>
      <w:r>
        <w:rPr>
          <w:b w:val="false"/>
          <w:bCs w:val="false"/>
          <w:sz w:val="24"/>
          <w:szCs w:val="24"/>
        </w:rPr>
        <w:t>Собакам весом 40 кг - 4 г порошка (8 мерных ложки).</w:t>
      </w:r>
    </w:p>
    <w:p>
      <w:pPr>
        <w:pStyle w:val="Normal"/>
        <w:spacing w:before="57" w:after="57"/>
        <w:jc w:val="left"/>
        <w:rPr/>
      </w:pPr>
      <w:r>
        <w:rPr>
          <w:b w:val="false"/>
          <w:bCs w:val="false"/>
          <w:sz w:val="24"/>
          <w:szCs w:val="24"/>
        </w:rPr>
        <w:t>Ограничений для применения и несовместимости с различными рационами питания не выявлено.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Состав: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коллагена гидролизат, метилсульфонилметан (МСМ), глюкозамина сульфат, стевиозид, белка куриного гидролизат, кислота аскорбиновая (Витамин С), холекальциферол (Витамин D3).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Питательная ценность на 100г продукта, не менее: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белки – 66,0 г; жиры – 0,1 г; углеводы – 0,1 г; сера – 3,9 г; витамин С – 0,5 г; витамин D3 – 0,06 мг.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Энергетическая ценность в 100 г: 270 ккал.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Условия хранения: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в течение 24 месяцев в закрытой упаковке производителя, в защищенном от влаги и прямых солнечных лучей месте при температуре от 0 до 25°С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Срок годности: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24 месяца с даты изготовления. 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Не применять по истечении срока годности.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2013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z w:val="20"/>
          <w:szCs w:val="24"/>
        </w:rPr>
      </w:r>
    </w:p>
    <w:p>
      <w:pPr>
        <w:pStyle w:val="Normal"/>
        <w:jc w:val="center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sz w:val="20"/>
          <w:szCs w:val="24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68</TotalTime>
  <Application>LibreOffice/7.1.7.2$Windows_X86_64 LibreOffice_project/c6a4e3954236145e2acb0b65f68614365aeee33f</Application>
  <AppVersion>15.0000</AppVersion>
  <Pages>6</Pages>
  <Words>436</Words>
  <Characters>2680</Characters>
  <CharactersWithSpaces>3071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2022-03-31T14:54:45Z</dcterms:created>
  <dc:creator/>
  <dc:description/>
  <dc:language>ru-RU</dc:language>
  <cp:lastModifiedBy/>
  <dcterms:modified xsi:type="dcterms:W3CDTF">2024-06-26T10:52:01Z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