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6E1BB8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6E1BB8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6E1BB8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>,</w:t>
      </w:r>
      <w:r w:rsidRPr="00F61B75">
        <w:rPr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6E1BB8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6E1BB8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6E1BB8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6E1BB8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уч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6E1BB8">
        <w:rPr>
          <w:rFonts w:ascii="Times New Roman" w:hAnsi="Times New Roman" w:cs="Times New Roman"/>
          <w:b/>
          <w:i/>
          <w:noProof/>
        </w:rPr>
        <w:t>4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</w:t>
      </w:r>
      <w:bookmarkStart w:id="0" w:name="_GoBack"/>
      <w:bookmarkEnd w:id="0"/>
      <w:r w:rsidRPr="00F61B75">
        <w:rPr>
          <w:rFonts w:ascii="Times New Roman" w:hAnsi="Times New Roman" w:cs="Times New Roman"/>
        </w:rPr>
        <w:t>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B156F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</w:t>
      </w:r>
    </w:p>
    <w:p w:rsidR="00805819" w:rsidRPr="00F61B75" w:rsidRDefault="004A0796" w:rsidP="004A079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A38">
        <w:rPr>
          <w:sz w:val="20"/>
          <w:szCs w:val="20"/>
        </w:rPr>
        <w:t xml:space="preserve">При определении Общей площади Объекта не учитываются любые отделочные работы (например, штукатурка, шпаклевка, </w:t>
      </w:r>
      <w:proofErr w:type="spellStart"/>
      <w:r w:rsidRPr="00197A38">
        <w:rPr>
          <w:sz w:val="20"/>
          <w:szCs w:val="20"/>
        </w:rPr>
        <w:t>фальш</w:t>
      </w:r>
      <w:proofErr w:type="spellEnd"/>
      <w:r w:rsidRPr="00197A38">
        <w:rPr>
          <w:sz w:val="20"/>
          <w:szCs w:val="20"/>
        </w:rPr>
        <w:t>-стены, декоративные элементы и т.п.), возведение перегородок/стен и любые иные работы, влияющие на площадь Объекта</w:t>
      </w:r>
      <w:r>
        <w:rPr>
          <w:sz w:val="20"/>
          <w:szCs w:val="20"/>
        </w:rPr>
        <w:t>.</w:t>
      </w:r>
      <w:r w:rsidR="00805819" w:rsidRPr="00F61B75">
        <w:rPr>
          <w:sz w:val="20"/>
          <w:szCs w:val="20"/>
        </w:rPr>
        <w:t xml:space="preserve">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6E1BB8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6E1BB8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6E1BB8">
        <w:rPr>
          <w:rFonts w:ascii="Times New Roman" w:hAnsi="Times New Roman" w:cs="Times New Roman"/>
          <w:b/>
          <w:i/>
        </w:rPr>
        <w:t>77-245000-013341-2016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6E1BB8">
        <w:rPr>
          <w:rFonts w:ascii="Times New Roman" w:hAnsi="Times New Roman" w:cs="Times New Roman"/>
        </w:rPr>
        <w:t xml:space="preserve"> </w:t>
      </w:r>
      <w:r w:rsidRPr="006E1BB8">
        <w:rPr>
          <w:rFonts w:ascii="Times New Roman" w:hAnsi="Times New Roman" w:cs="Times New Roman"/>
          <w:b/>
          <w:i/>
        </w:rPr>
        <w:t>24.09.2016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6E1BB8">
        <w:rPr>
          <w:rFonts w:ascii="Times New Roman" w:hAnsi="Times New Roman" w:cs="Times New Roman"/>
        </w:rPr>
        <w:t xml:space="preserve">., </w:t>
      </w:r>
      <w:r w:rsidRPr="006E1BB8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6E1BB8">
        <w:rPr>
          <w:rFonts w:ascii="Times New Roman" w:hAnsi="Times New Roman" w:cs="Times New Roman"/>
        </w:rPr>
        <w:t>.</w:t>
      </w:r>
    </w:p>
    <w:p w:rsidR="004F5C06" w:rsidRPr="006E1BB8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6E1BB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6E1BB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6E1BB8">
        <w:rPr>
          <w:rFonts w:ascii="Times New Roman" w:hAnsi="Times New Roman" w:cs="Times New Roman"/>
        </w:rPr>
        <w:t xml:space="preserve"> № </w:t>
      </w:r>
      <w:r w:rsidR="00813E00" w:rsidRPr="006E1BB8">
        <w:rPr>
          <w:rFonts w:ascii="Times New Roman" w:hAnsi="Times New Roman" w:cs="Times New Roman"/>
          <w:b/>
          <w:i/>
        </w:rPr>
        <w:t>77:17:0000000:9863-77/017/2017-1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6E1BB8">
        <w:rPr>
          <w:rFonts w:ascii="Times New Roman" w:hAnsi="Times New Roman" w:cs="Times New Roman"/>
          <w:b/>
          <w:i/>
        </w:rPr>
        <w:t xml:space="preserve"> 09.02.2017</w:t>
      </w:r>
      <w:r w:rsidR="00813E00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6E1BB8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6E1BB8">
        <w:rPr>
          <w:rFonts w:ascii="Times New Roman" w:hAnsi="Times New Roman" w:cs="Times New Roman"/>
        </w:rPr>
        <w:t xml:space="preserve"> </w:t>
      </w:r>
      <w:r w:rsidR="00CD780D" w:rsidRPr="006E1BB8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6E1BB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6E1BB8">
        <w:rPr>
          <w:rFonts w:ascii="Times New Roman" w:hAnsi="Times New Roman" w:cs="Times New Roman"/>
        </w:rPr>
        <w:t>.</w:t>
      </w:r>
      <w:r w:rsidR="004F5C06" w:rsidRPr="006E1BB8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3" w:name="OLE_LINK120"/>
      <w:bookmarkStart w:id="4" w:name="OLE_LINK121"/>
      <w:bookmarkStart w:id="5" w:name="OLE_LINK122"/>
      <w:r w:rsidR="006E1BB8" w:rsidRPr="003548F3">
        <w:rPr>
          <w:rFonts w:ascii="Calibri" w:eastAsia="Calibri" w:hAnsi="Calibri"/>
          <w:lang w:eastAsia="en-US"/>
        </w:rPr>
        <w:t>[●]</w:t>
      </w:r>
      <w:bookmarkEnd w:id="3"/>
      <w:bookmarkEnd w:id="4"/>
      <w:bookmarkEnd w:id="5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</w:t>
      </w:r>
      <w:r w:rsidR="00431E65" w:rsidRPr="00F61B75">
        <w:rPr>
          <w:sz w:val="20"/>
          <w:szCs w:val="20"/>
        </w:rPr>
        <w:lastRenderedPageBreak/>
        <w:t>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</w:t>
      </w:r>
      <w:r w:rsidR="00BD5A6B">
        <w:rPr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6" w:name="OLE_LINK144"/>
      <w:bookmarkStart w:id="7" w:name="OLE_LINK145"/>
      <w:r w:rsidR="00D8227E" w:rsidRPr="00F66236">
        <w:rPr>
          <w:i/>
          <w:sz w:val="20"/>
          <w:szCs w:val="20"/>
        </w:rPr>
        <w:t xml:space="preserve"> </w:t>
      </w:r>
      <w:bookmarkEnd w:id="6"/>
      <w:bookmarkEnd w:id="7"/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4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7F3CB1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7F3CB1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7F3CB1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7F3CB1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8" w:name="OLE_LINK148"/>
      <w:bookmarkStart w:id="9" w:name="OLE_LINK149"/>
      <w:r w:rsidR="00D8227E" w:rsidRPr="00F61B75">
        <w:rPr>
          <w:b/>
          <w:i/>
          <w:sz w:val="20"/>
          <w:szCs w:val="20"/>
        </w:rPr>
        <w:t>30.07.2019</w:t>
      </w:r>
      <w:bookmarkEnd w:id="8"/>
      <w:bookmarkEnd w:id="9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30.01.2019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lastRenderedPageBreak/>
        <w:t xml:space="preserve">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1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1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</w:t>
      </w:r>
      <w:r w:rsidR="009079A5" w:rsidRPr="00F61B75">
        <w:rPr>
          <w:sz w:val="20"/>
          <w:szCs w:val="20"/>
        </w:rPr>
        <w:lastRenderedPageBreak/>
        <w:t>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</w:t>
      </w:r>
      <w:r w:rsidRPr="00F61B75">
        <w:lastRenderedPageBreak/>
        <w:t>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6E1BB8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6E1BB8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6E1BB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E1BB8">
        <w:rPr>
          <w:rFonts w:ascii="Times New Roman" w:hAnsi="Times New Roman"/>
          <w:b/>
          <w:bCs/>
          <w:spacing w:val="20"/>
        </w:rPr>
        <w:t xml:space="preserve">: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bookmarkStart w:id="13" w:name="OLE_LINK151"/>
      <w:bookmarkStart w:id="14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5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5"/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D8227E" w:rsidRDefault="0086327A" w:rsidP="0086327A">
      <w:pPr>
        <w:pStyle w:val="ConsNormal"/>
        <w:spacing w:after="120"/>
        <w:ind w:firstLine="0"/>
        <w:rPr>
          <w:rFonts w:ascii="Times New Roman" w:hAnsi="Times New Roman"/>
          <w:b/>
          <w:bCs/>
          <w:i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86327A" w:rsidRPr="0086327A" w:rsidRDefault="0086327A" w:rsidP="0086327A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6E1BB8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E1BB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E1BB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6E1BB8" w:rsidRDefault="00D8227E" w:rsidP="006E1BB8">
      <w:pPr>
        <w:outlineLvl w:val="0"/>
        <w:rPr>
          <w:bCs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6E1BB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E1BB8">
        <w:rPr>
          <w:b/>
          <w:bCs/>
          <w:spacing w:val="20"/>
          <w:sz w:val="20"/>
          <w:szCs w:val="20"/>
        </w:rPr>
        <w:t>:</w:t>
      </w:r>
    </w:p>
    <w:p w:rsidR="00D8227E" w:rsidRPr="006E1BB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6E1BB8" w:rsidRDefault="006E1BB8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D8227E" w:rsidRPr="006E1BB8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8">
              <w:rPr>
                <w:sz w:val="20"/>
                <w:szCs w:val="20"/>
              </w:rPr>
              <w:t>_____________________________________________________</w:t>
            </w:r>
            <w:r w:rsidRPr="006E1BB8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6E1BB8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6E1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3"/>
      <w:bookmarkEnd w:id="14"/>
    </w:tbl>
    <w:p w:rsidR="00971003" w:rsidRPr="002252D9" w:rsidRDefault="00190CD4" w:rsidP="0097100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971003" w:rsidRPr="002252D9">
        <w:rPr>
          <w:b/>
          <w:bCs/>
          <w:sz w:val="20"/>
          <w:szCs w:val="20"/>
        </w:rPr>
        <w:lastRenderedPageBreak/>
        <w:t>ПРИЛОЖЕНИЕ №1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ЖИЛОГО ДОМА И ОБЪЕКТА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71003" w:rsidRPr="002252D9" w:rsidTr="00272CD2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272CD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971003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272CD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272CD2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6E1BB8" w:rsidRPr="002252D9" w:rsidTr="004E6D4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Pr="002252D9" w:rsidRDefault="006E1BB8" w:rsidP="006E1BB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Вариант/стиль внутренней отделки: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BB8" w:rsidRDefault="006E1BB8" w:rsidP="006E1BB8">
            <w:r w:rsidRPr="00757BA5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971003" w:rsidRPr="002252D9" w:rsidRDefault="00971003" w:rsidP="00971003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971003" w:rsidRPr="002252D9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СТОРОН:</w:t>
      </w:r>
    </w:p>
    <w:p w:rsidR="00971003" w:rsidRPr="002252D9" w:rsidRDefault="00971003" w:rsidP="00971003">
      <w:pPr>
        <w:jc w:val="both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Застройщик:</w:t>
      </w:r>
    </w:p>
    <w:p w:rsidR="00971003" w:rsidRPr="002252D9" w:rsidRDefault="00971003" w:rsidP="00971003">
      <w:pPr>
        <w:jc w:val="both"/>
        <w:outlineLvl w:val="0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Представитель по доверенности</w:t>
      </w:r>
    </w:p>
    <w:p w:rsidR="006E1BB8" w:rsidRDefault="00971003" w:rsidP="006E1BB8">
      <w:pPr>
        <w:outlineLvl w:val="0"/>
        <w:rPr>
          <w:rFonts w:ascii="Calibri" w:eastAsia="Calibri" w:hAnsi="Calibri"/>
          <w:sz w:val="20"/>
          <w:szCs w:val="20"/>
          <w:lang w:eastAsia="en-US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2252D9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6E1BB8" w:rsidRDefault="006E1BB8" w:rsidP="006E1BB8">
      <w:pPr>
        <w:outlineLvl w:val="0"/>
        <w:rPr>
          <w:rFonts w:ascii="Calibri" w:eastAsia="Calibri" w:hAnsi="Calibri"/>
          <w:sz w:val="20"/>
          <w:szCs w:val="20"/>
          <w:lang w:eastAsia="en-US"/>
        </w:rPr>
      </w:pPr>
    </w:p>
    <w:p w:rsidR="00971003" w:rsidRPr="002252D9" w:rsidRDefault="00971003" w:rsidP="006E1BB8">
      <w:pPr>
        <w:outlineLvl w:val="0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1003" w:rsidRPr="002252D9" w:rsidTr="00272CD2">
        <w:tc>
          <w:tcPr>
            <w:tcW w:w="9571" w:type="dxa"/>
            <w:hideMark/>
          </w:tcPr>
          <w:p w:rsidR="00971003" w:rsidRPr="002252D9" w:rsidRDefault="00971003" w:rsidP="00272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971003" w:rsidRPr="002252D9" w:rsidRDefault="00971003" w:rsidP="00272CD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52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971003" w:rsidRPr="002252D9" w:rsidRDefault="00971003" w:rsidP="00272CD2"/>
        </w:tc>
      </w:tr>
    </w:tbl>
    <w:p w:rsidR="00971003" w:rsidRPr="002252D9" w:rsidRDefault="00971003" w:rsidP="00971003">
      <w:pPr>
        <w:rPr>
          <w:b/>
          <w:spacing w:val="20"/>
          <w:sz w:val="20"/>
          <w:szCs w:val="20"/>
        </w:rPr>
      </w:pPr>
      <w:r w:rsidRPr="002252D9">
        <w:rPr>
          <w:b/>
          <w:spacing w:val="20"/>
          <w:sz w:val="20"/>
          <w:szCs w:val="20"/>
        </w:rPr>
        <w:br w:type="page"/>
      </w:r>
    </w:p>
    <w:p w:rsidR="00971003" w:rsidRPr="002252D9" w:rsidRDefault="00971003" w:rsidP="00971003">
      <w:pPr>
        <w:jc w:val="right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lastRenderedPageBreak/>
        <w:t>ПРИЛОЖЕНИЕ №1-а</w:t>
      </w:r>
    </w:p>
    <w:p w:rsidR="006E1BB8" w:rsidRDefault="00971003" w:rsidP="00971003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2252D9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bookmarkStart w:id="16" w:name="_Hlk48884853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6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927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"/>
        <w:gridCol w:w="2513"/>
        <w:gridCol w:w="6055"/>
      </w:tblGrid>
      <w:tr w:rsidR="00971003" w:rsidRPr="002252D9" w:rsidTr="00272CD2">
        <w:trPr>
          <w:trHeight w:val="46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Содержание работ</w:t>
            </w:r>
          </w:p>
        </w:tc>
      </w:tr>
      <w:tr w:rsidR="00971003" w:rsidRPr="002252D9" w:rsidTr="00272CD2">
        <w:trPr>
          <w:trHeight w:val="69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</w:rPr>
              <w:t>Строительный адрес Объекта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</w:rPr>
              <w:t xml:space="preserve">Москва, НАО, п. </w:t>
            </w:r>
            <w:proofErr w:type="spellStart"/>
            <w:r w:rsidRPr="002252D9">
              <w:rPr>
                <w:b/>
                <w:i/>
                <w:sz w:val="20"/>
                <w:szCs w:val="20"/>
              </w:rPr>
              <w:t>Сосенское</w:t>
            </w:r>
            <w:proofErr w:type="spellEnd"/>
            <w:r w:rsidRPr="002252D9">
              <w:rPr>
                <w:b/>
                <w:i/>
                <w:sz w:val="20"/>
                <w:szCs w:val="20"/>
              </w:rPr>
              <w:t>, пос. Коммунарка</w:t>
            </w:r>
          </w:p>
        </w:tc>
      </w:tr>
      <w:tr w:rsidR="00971003" w:rsidRPr="002252D9" w:rsidTr="00272CD2">
        <w:trPr>
          <w:trHeight w:val="71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Состав отделочных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 В соответствии с Ведомостью внутренней отделки помещений Объекта (см. ниже)</w:t>
            </w:r>
          </w:p>
        </w:tc>
      </w:tr>
      <w:tr w:rsidR="00971003" w:rsidRPr="002252D9" w:rsidTr="00272CD2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Сантехнические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Выполнение прокладки трубопроводов ХВС, ГВС по квартире. 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Прокладка трубопроводов отопления до мест установки приборов отопления в соответствии с проектом.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отопительных приборов.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ванны.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унитаза.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раковины.</w:t>
            </w:r>
          </w:p>
          <w:p w:rsidR="00971003" w:rsidRPr="002252D9" w:rsidRDefault="00971003" w:rsidP="00272CD2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смесителей (для раковины и для душа).</w:t>
            </w:r>
          </w:p>
        </w:tc>
      </w:tr>
      <w:tr w:rsidR="00971003" w:rsidRPr="002252D9" w:rsidTr="00272CD2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Электротехнические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Установка квартирного щита - в соответствии с проектом. </w:t>
            </w:r>
          </w:p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Прокладка труб для электропроводок. </w:t>
            </w:r>
          </w:p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розеток и выключателей.</w:t>
            </w:r>
          </w:p>
          <w:p w:rsidR="00971003" w:rsidRPr="002252D9" w:rsidRDefault="00971003" w:rsidP="00272CD2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Разводка под верхний свет, установка универсальных закладных в натяжном потолке для крепления светильников и клеммных колодок для их подключения</w:t>
            </w:r>
          </w:p>
        </w:tc>
      </w:tr>
      <w:tr w:rsidR="00971003" w:rsidRPr="002252D9" w:rsidTr="00272CD2">
        <w:trPr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Вентиляционные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272CD2">
            <w:pPr>
              <w:numPr>
                <w:ilvl w:val="0"/>
                <w:numId w:val="36"/>
              </w:numPr>
              <w:spacing w:line="254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вентиляционных решеток.</w:t>
            </w:r>
          </w:p>
        </w:tc>
      </w:tr>
    </w:tbl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252D9">
        <w:rPr>
          <w:b/>
          <w:sz w:val="20"/>
          <w:szCs w:val="20"/>
        </w:rPr>
        <w:t>Ведомость внутренней отделки помещений Объекта</w:t>
      </w: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983"/>
        <w:gridCol w:w="1277"/>
        <w:gridCol w:w="1276"/>
        <w:gridCol w:w="1979"/>
        <w:gridCol w:w="992"/>
        <w:gridCol w:w="961"/>
      </w:tblGrid>
      <w:tr w:rsidR="00971003" w:rsidRPr="002252D9" w:rsidTr="00272CD2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Перегородки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Потолки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Двери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Окна</w:t>
            </w:r>
          </w:p>
        </w:tc>
      </w:tr>
      <w:tr w:rsidR="00971003" w:rsidRPr="002252D9" w:rsidTr="00272CD2">
        <w:trPr>
          <w:cantSplit/>
          <w:trHeight w:val="15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Кухня</w:t>
            </w:r>
          </w:p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-керамическая плитка напольная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-плинтус.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52D9">
              <w:rPr>
                <w:sz w:val="20"/>
                <w:szCs w:val="20"/>
                <w:lang w:eastAsia="en-US"/>
              </w:rPr>
              <w:t>подок</w:t>
            </w:r>
            <w:proofErr w:type="spellEnd"/>
            <w:r w:rsidRPr="002252D9">
              <w:rPr>
                <w:sz w:val="20"/>
                <w:szCs w:val="20"/>
                <w:lang w:eastAsia="en-US"/>
              </w:rPr>
              <w:t>. доски из ПВХ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272CD2">
        <w:trPr>
          <w:trHeight w:val="17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Прихожая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</w:t>
            </w:r>
            <w:r w:rsidRPr="002252D9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декоративный кирпич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«Классический»,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2252D9" w:rsidDel="006765DC">
              <w:rPr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«Скандинавский вечер»</w:t>
            </w:r>
            <w:r w:rsidRPr="002252D9">
              <w:rPr>
                <w:b/>
                <w:i/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обои под покраску, покраска.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дверь входная, металлическая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</w:tc>
      </w:tr>
      <w:tr w:rsidR="00971003" w:rsidRPr="002252D9" w:rsidTr="00272CD2">
        <w:trPr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 xml:space="preserve">Санузел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ревизионного сантехнического люка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керамическая плитка напольная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272CD2">
        <w:trPr>
          <w:trHeight w:val="9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Лоджия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 напольная</w:t>
            </w:r>
            <w:r w:rsidRPr="002252D9" w:rsidDel="006765D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штукатурка;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971003" w:rsidRPr="002252D9" w:rsidTr="00272CD2">
        <w:trPr>
          <w:trHeight w:val="17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tabs>
                <w:tab w:val="left" w:pos="34"/>
                <w:tab w:val="num" w:pos="1560"/>
              </w:tabs>
              <w:overflowPunct w:val="0"/>
              <w:adjustRightInd w:val="0"/>
              <w:spacing w:line="254" w:lineRule="auto"/>
              <w:ind w:left="34"/>
              <w:rPr>
                <w:b/>
                <w:bCs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</w:instrText>
            </w:r>
            <w:r w:rsidRPr="002252D9">
              <w:rPr>
                <w:b/>
                <w:sz w:val="20"/>
                <w:szCs w:val="20"/>
                <w:lang w:val="en-US" w:eastAsia="en-US"/>
              </w:rPr>
              <w:instrText>IF</w:instrText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2 &gt; 1 " Жилые комнаты " " Жилая комната " </w:instrTex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Жилые комнаты </w: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end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утро», «Скандинавский вечер»</w:t>
            </w:r>
            <w:r w:rsidRPr="002252D9">
              <w:rPr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обои под покраску, покраска 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«Классический»: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-обои под покраску, покраска;</w:t>
            </w:r>
          </w:p>
          <w:p w:rsidR="00971003" w:rsidRPr="002252D9" w:rsidRDefault="00971003" w:rsidP="00272CD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и/или обои виниловые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272CD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52D9">
              <w:rPr>
                <w:sz w:val="20"/>
                <w:szCs w:val="20"/>
                <w:lang w:eastAsia="en-US"/>
              </w:rPr>
              <w:t>подок</w:t>
            </w:r>
            <w:proofErr w:type="spellEnd"/>
            <w:r w:rsidRPr="002252D9">
              <w:rPr>
                <w:sz w:val="20"/>
                <w:szCs w:val="20"/>
                <w:lang w:eastAsia="en-US"/>
              </w:rPr>
              <w:t>. доски из ПВХ</w:t>
            </w:r>
          </w:p>
        </w:tc>
      </w:tr>
    </w:tbl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 xml:space="preserve">В процессе выполнения отделочных работ Застройщик оставляет за собой право замены оборудования и материалов, используемых при выполнении работ по внутренней отделке Объекта, на соответствующие указанному варианту/стилю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класса, модели, марки, серии, артикула, без дополнительного согласования с Участником (оформления дополнительного соглашения) и изменения указанной в Договоре стоимости 1 </w:t>
      </w:r>
      <w:proofErr w:type="spellStart"/>
      <w:r w:rsidRPr="0040232A">
        <w:rPr>
          <w:sz w:val="20"/>
          <w:szCs w:val="20"/>
        </w:rPr>
        <w:t>кв.м</w:t>
      </w:r>
      <w:proofErr w:type="spellEnd"/>
      <w:r w:rsidRPr="0040232A">
        <w:rPr>
          <w:sz w:val="20"/>
          <w:szCs w:val="20"/>
        </w:rPr>
        <w:t xml:space="preserve"> площади Объекта. Использование аналогичных материалов не является недостатком, приводящим к ухудшению качества Объекта, либо иным недостатком, делающим Объект непригодным для использования, и не является нарушением условий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вправе по своему усмотрению устанавливать в Объекте дополнительное оборудование либо иным образом изменять уровень отделки Объекта. Установка в Объекте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Гарантийный срок на отделочные работы, указанные в настоящем приложении, составляет 1 (один) год со дня передачи Участнику Объекта в соответствии с условиями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или ее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(или иными лицами) Объекта,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для профессиональной деятельности; а также вследствие проведения ремонта (включая переустройство, перепланировку), проведенного самим Участником или привлеченными им третьими лицами.</w:t>
      </w:r>
    </w:p>
    <w:p w:rsidR="00971003" w:rsidRPr="002252D9" w:rsidRDefault="004A0796" w:rsidP="004A0796">
      <w:pPr>
        <w:ind w:firstLine="708"/>
        <w:jc w:val="both"/>
        <w:rPr>
          <w:sz w:val="20"/>
          <w:szCs w:val="20"/>
        </w:rPr>
      </w:pPr>
      <w:r w:rsidRPr="0040232A">
        <w:rPr>
          <w:sz w:val="20"/>
          <w:szCs w:val="20"/>
        </w:rPr>
        <w:lastRenderedPageBreak/>
        <w:t>Гарантийный срок, установленный в настоящем приложении, не распространяется на отделочные р</w:t>
      </w:r>
      <w:r>
        <w:rPr>
          <w:sz w:val="20"/>
          <w:szCs w:val="20"/>
        </w:rPr>
        <w:t>аботы, выполненные Участником</w:t>
      </w:r>
      <w:r w:rsidRPr="002252D9">
        <w:rPr>
          <w:sz w:val="20"/>
          <w:szCs w:val="20"/>
        </w:rPr>
        <w:t>.</w:t>
      </w:r>
    </w:p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0447A0" w:rsidRPr="00F61B75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</w:t>
      </w:r>
      <w:r w:rsidR="000447A0" w:rsidRPr="00F61B75">
        <w:rPr>
          <w:b/>
          <w:bCs/>
          <w:sz w:val="20"/>
          <w:szCs w:val="20"/>
        </w:rPr>
        <w:t>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6E1BB8" w:rsidRDefault="000447A0" w:rsidP="006E1BB8">
      <w:pPr>
        <w:outlineLvl w:val="0"/>
        <w:rPr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6E1BB8">
        <w:rPr>
          <w:b/>
          <w:i/>
          <w:sz w:val="20"/>
          <w:szCs w:val="20"/>
        </w:rPr>
        <w:t>4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D20EAE" w:rsidRDefault="00D20EAE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>
      <w:pPr>
        <w:rPr>
          <w:noProof/>
        </w:rPr>
      </w:pPr>
    </w:p>
    <w:p w:rsidR="006E1BB8" w:rsidRDefault="006E1BB8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6E1BB8" w:rsidRDefault="00F55171" w:rsidP="00F55171">
      <w:pPr>
        <w:outlineLvl w:val="0"/>
        <w:rPr>
          <w:bCs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6E1BB8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E1BB8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E1BB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bookmarkStart w:id="17" w:name="_Hlk493781066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7"/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noProof/>
          <w:sz w:val="20"/>
          <w:szCs w:val="20"/>
        </w:rPr>
        <w:t xml:space="preserve"> </w:t>
      </w:r>
      <w:r w:rsidRPr="006E1BB8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6E1BB8">
        <w:rPr>
          <w:b/>
          <w:i/>
          <w:noProof/>
          <w:sz w:val="20"/>
          <w:szCs w:val="20"/>
        </w:rPr>
        <w:t>4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6E1BB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E1BB8">
        <w:rPr>
          <w:b/>
          <w:sz w:val="20"/>
          <w:szCs w:val="20"/>
        </w:rPr>
        <w:t xml:space="preserve">: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86327A" w:rsidRDefault="0086327A" w:rsidP="0086327A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6327A">
        <w:rPr>
          <w:bCs/>
          <w:sz w:val="20"/>
          <w:szCs w:val="20"/>
        </w:rPr>
        <w:t>к/</w:t>
      </w:r>
      <w:proofErr w:type="gramStart"/>
      <w:r w:rsidRPr="0086327A">
        <w:rPr>
          <w:bCs/>
          <w:sz w:val="20"/>
          <w:szCs w:val="20"/>
        </w:rPr>
        <w:t xml:space="preserve">с  </w:t>
      </w:r>
      <w:r w:rsidRPr="0086327A">
        <w:rPr>
          <w:b/>
          <w:bCs/>
          <w:i/>
          <w:sz w:val="20"/>
          <w:szCs w:val="20"/>
        </w:rPr>
        <w:t>30101810645250000720</w:t>
      </w:r>
      <w:proofErr w:type="gramEnd"/>
      <w:r w:rsidRPr="0086327A">
        <w:rPr>
          <w:bCs/>
          <w:sz w:val="20"/>
          <w:szCs w:val="20"/>
        </w:rPr>
        <w:t xml:space="preserve"> БИК </w:t>
      </w:r>
      <w:r w:rsidRPr="0086327A">
        <w:rPr>
          <w:b/>
          <w:bCs/>
          <w:i/>
          <w:sz w:val="20"/>
          <w:szCs w:val="20"/>
        </w:rPr>
        <w:t>044525720</w:t>
      </w:r>
    </w:p>
    <w:p w:rsidR="008E6FA9" w:rsidRPr="006E1BB8" w:rsidRDefault="008E6FA9" w:rsidP="008E6FA9">
      <w:pPr>
        <w:jc w:val="both"/>
        <w:rPr>
          <w:bCs/>
          <w:sz w:val="20"/>
          <w:szCs w:val="20"/>
        </w:rPr>
      </w:pPr>
    </w:p>
    <w:p w:rsidR="0094653B" w:rsidRPr="006E1BB8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6E1BB8" w:rsidRDefault="008E6FA9" w:rsidP="008E6FA9">
      <w:pPr>
        <w:outlineLvl w:val="0"/>
        <w:rPr>
          <w:bCs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6E1BB8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E1BB8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E1BB8" w:rsidRDefault="00CE2546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E1BB8" w:rsidRDefault="0094653B" w:rsidP="006E1BB8">
      <w:pPr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4653B" w:rsidRPr="003548F3" w:rsidRDefault="0094653B" w:rsidP="006E1BB8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E1BB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6E1BB8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E6FA9" w:rsidRPr="003548F3">
        <w:rPr>
          <w:sz w:val="20"/>
          <w:szCs w:val="20"/>
        </w:rPr>
        <w:t xml:space="preserve"> </w:t>
      </w:r>
      <w:r w:rsidR="008E6FA9" w:rsidRPr="006E1BB8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6E1BB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E1BB8">
        <w:rPr>
          <w:b/>
          <w:sz w:val="20"/>
          <w:szCs w:val="20"/>
        </w:rPr>
        <w:t xml:space="preserve">: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86327A" w:rsidRPr="0086327A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6E1BB8" w:rsidRDefault="0086327A" w:rsidP="0086327A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8E6FA9" w:rsidRPr="006E1BB8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6E1BB8" w:rsidRDefault="006E1BB8" w:rsidP="00190CD4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6E1BB8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6E1BB8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6E1BB8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6E1BB8" w:rsidRDefault="008E6FA9" w:rsidP="006E1BB8">
      <w:pPr>
        <w:outlineLvl w:val="0"/>
        <w:rPr>
          <w:b/>
          <w:bCs/>
          <w:spacing w:val="20"/>
          <w:sz w:val="20"/>
          <w:szCs w:val="20"/>
        </w:rPr>
      </w:pPr>
      <w:r w:rsidRPr="006E1BB8">
        <w:rPr>
          <w:bCs/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6E1BB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6E1BB8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6E1BB8">
        <w:rPr>
          <w:bCs/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6E1BB8">
        <w:rPr>
          <w:bCs/>
          <w:sz w:val="20"/>
          <w:szCs w:val="20"/>
        </w:rPr>
        <w:t>. ______________________________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D20EAE" w:rsidRDefault="00D20EAE"/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6E1BB8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6E1BB8">
        <w:rPr>
          <w:sz w:val="20"/>
          <w:szCs w:val="20"/>
        </w:rPr>
        <w:t xml:space="preserve">№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6E1BB8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от</w:t>
      </w:r>
      <w:r w:rsidRPr="006E1BB8">
        <w:rPr>
          <w:sz w:val="20"/>
          <w:szCs w:val="20"/>
        </w:rPr>
        <w:t xml:space="preserve"> 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6E1BB8">
        <w:rPr>
          <w:sz w:val="20"/>
          <w:szCs w:val="20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6E1BB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73D" w:rsidRDefault="000F473D" w:rsidP="005C0EE0">
      <w:r>
        <w:separator/>
      </w:r>
    </w:p>
  </w:endnote>
  <w:endnote w:type="continuationSeparator" w:id="0">
    <w:p w:rsidR="000F473D" w:rsidRDefault="000F473D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B8">
          <w:rPr>
            <w:noProof/>
          </w:rPr>
          <w:t>20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BB8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73D" w:rsidRDefault="000F473D" w:rsidP="005C0EE0">
      <w:r>
        <w:separator/>
      </w:r>
    </w:p>
  </w:footnote>
  <w:footnote w:type="continuationSeparator" w:id="0">
    <w:p w:rsidR="000F473D" w:rsidRDefault="000F473D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14B6E"/>
    <w:multiLevelType w:val="hybridMultilevel"/>
    <w:tmpl w:val="FE4AFD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4D0074"/>
    <w:multiLevelType w:val="hybridMultilevel"/>
    <w:tmpl w:val="A0D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17"/>
  </w:num>
  <w:num w:numId="17">
    <w:abstractNumId w:val="23"/>
  </w:num>
  <w:num w:numId="18">
    <w:abstractNumId w:val="10"/>
  </w:num>
  <w:num w:numId="19">
    <w:abstractNumId w:val="21"/>
  </w:num>
  <w:num w:numId="20">
    <w:abstractNumId w:val="13"/>
  </w:num>
  <w:num w:numId="21">
    <w:abstractNumId w:val="5"/>
  </w:num>
  <w:num w:numId="22">
    <w:abstractNumId w:val="27"/>
  </w:num>
  <w:num w:numId="23">
    <w:abstractNumId w:val="24"/>
  </w:num>
  <w:num w:numId="24">
    <w:abstractNumId w:val="8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473D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0796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1BB8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3CB1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327A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1003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5F6E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6F7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5A6B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0EAE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82517D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D4B6-E206-4EAE-A1CB-9B671D78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7341</Words>
  <Characters>51860</Characters>
  <Application>Microsoft Office Word</Application>
  <DocSecurity>0</DocSecurity>
  <Lines>432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59083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3</cp:revision>
  <cp:lastPrinted>2017-02-08T08:05:00Z</cp:lastPrinted>
  <dcterms:created xsi:type="dcterms:W3CDTF">2017-09-21T15:17:00Z</dcterms:created>
  <dcterms:modified xsi:type="dcterms:W3CDTF">2018-07-17T13:39:00Z</dcterms:modified>
</cp:coreProperties>
</file>