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ind w:left="7230" w:right="-142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УТВЕРЖДЕНО</w:t>
      </w:r>
    </w:p>
    <w:p>
      <w:pPr>
        <w:pStyle w:val="Normal"/>
        <w:suppressAutoHyphens w:val="false"/>
        <w:spacing w:lineRule="auto" w:line="240" w:before="0" w:after="0"/>
        <w:ind w:left="7230" w:right="-142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приказом директора МАОДО ЦДТ «Хибины»</w:t>
      </w:r>
    </w:p>
    <w:p>
      <w:pPr>
        <w:pStyle w:val="Normal"/>
        <w:suppressAutoHyphens w:val="false"/>
        <w:spacing w:lineRule="auto" w:line="240" w:before="0" w:after="0"/>
        <w:ind w:left="7230" w:right="-142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От________ №_________</w:t>
      </w:r>
    </w:p>
    <w:p>
      <w:pPr>
        <w:pStyle w:val="NoSpacing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Spacing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открытого муниципального литературного вечера «Листопад строк»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br/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NoSpacing"/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before="0" w:after="0"/>
        <w:ind w:firstLine="851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1.1.  Настоящее Положение определяет цели и задачи, условия, порядок проведения и организационно-методическое обеспечение открытого 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униципального литературного вечера «Листопад строк» </w:t>
      </w:r>
      <w:r>
        <w:rPr>
          <w:rFonts w:cs="Times New Roman" w:ascii="Times New Roman" w:hAnsi="Times New Roman"/>
          <w:sz w:val="24"/>
          <w:szCs w:val="24"/>
        </w:rPr>
        <w:t xml:space="preserve">(далее – Мероприятие). </w:t>
      </w:r>
    </w:p>
    <w:p>
      <w:pPr>
        <w:pStyle w:val="NoSpacing"/>
        <w:spacing w:before="0" w:after="0"/>
        <w:ind w:firstLine="851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 Мероприятие финансируется за счет средств МП «Развитие образования в муниципальном образовании город Кировск с подведомственной территорией» на 2025 год (мероприятия, направленные на самореализацию, самоопределение и выявление талантливых детей).</w:t>
      </w:r>
    </w:p>
    <w:p>
      <w:pPr>
        <w:pStyle w:val="NoSpacing"/>
        <w:spacing w:before="0" w:after="0"/>
        <w:ind w:firstLine="851"/>
        <w:contextualSpacing/>
        <w:jc w:val="both"/>
        <w:rPr>
          <w:strike/>
        </w:rPr>
      </w:pPr>
      <w:r>
        <w:rPr>
          <w:rFonts w:cs="Times New Roman" w:ascii="Times New Roman" w:hAnsi="Times New Roman"/>
          <w:sz w:val="24"/>
          <w:szCs w:val="24"/>
        </w:rPr>
        <w:t xml:space="preserve">1.3 Мероприятие проводится </w:t>
      </w:r>
      <w:bookmarkStart w:id="0" w:name="_Hlk128751350"/>
      <w:r>
        <w:rPr>
          <w:rFonts w:cs="Times New Roman" w:ascii="Times New Roman" w:hAnsi="Times New Roman"/>
          <w:sz w:val="24"/>
          <w:szCs w:val="24"/>
        </w:rPr>
        <w:t>в очном формате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26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ноября в 17:00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sz w:val="24"/>
          <w:szCs w:val="24"/>
        </w:rPr>
        <w:t>на территории муниципального округа город Кировск с подведомственной территорией Мурманской области (далее – город Кировск) на базе МАОДО ЦДТ «Хибины» по адресу:</w:t>
        <w:br/>
        <w:t xml:space="preserve">пр. Ленина, д. 5. </w:t>
      </w:r>
    </w:p>
    <w:p>
      <w:pPr>
        <w:pStyle w:val="NoSpacing"/>
        <w:spacing w:before="0" w:after="0"/>
        <w:ind w:firstLine="851"/>
        <w:contextualSpacing/>
        <w:jc w:val="both"/>
        <w:rPr>
          <w:strike/>
        </w:rPr>
      </w:pPr>
      <w:r>
        <w:rPr>
          <w:strike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Цели и задачи</w:t>
      </w:r>
    </w:p>
    <w:p>
      <w:pPr>
        <w:pStyle w:val="NoSpacing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3"/>
        </w:numPr>
        <w:spacing w:before="0" w:after="0"/>
        <w:ind w:firstLine="993" w:left="-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Мероприятие проводится в целях создания единого пространства для выявления и поддержки молодых талантов, организации публичной демонстрации литературных работ учащихся, обмена опытом между педагогами и участниками, популяризации литературы, стимуляции творческого саморазвития молодежи и укрепления роли искусства в воспитании подрастающего поколения города Кировска.</w:t>
      </w:r>
    </w:p>
    <w:p>
      <w:pPr>
        <w:pStyle w:val="NoSpacing"/>
        <w:numPr>
          <w:ilvl w:val="1"/>
          <w:numId w:val="3"/>
        </w:numPr>
        <w:spacing w:before="0" w:after="0"/>
        <w:ind w:firstLine="993" w:left="-142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Основными задачами Мероприятия являются: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Организовать литературный вечер чтецов среди обучающихся образовательных учреждений, способствующий развитию навыков публичного чтения и презентации собственных стихотворений.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Создать условия для реализации творческого потенциала участников посредством предоставления сцены для публичных выступлений, поощряющих раскрытие индивидуальных особенностей и художественных дарований.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Привлечь внимание общественности к наследию классической русской и современной поэзии, популяризировать произведения, посвящённые осеннему периоду и другим природным явлениям.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Способствовать установлению тесных профессиональных связей между участниками, обеспечивая площадки для активного взаимодействия, живого общения и взаимного обогащения новыми впечатлениями и приёмами творчества.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Поддержать профессиональное совершенствование педагогов путём подготовки талантливых учеников и повышения квалификации в сфере художественного воспитания и литературного просвещающего дела.</w:t>
      </w:r>
    </w:p>
    <w:p>
      <w:pPr>
        <w:pStyle w:val="NoSpacing"/>
        <w:numPr>
          <w:ilvl w:val="0"/>
          <w:numId w:val="11"/>
        </w:numPr>
        <w:ind w:firstLine="1135"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Создать благоприятную среду для дальнейшего развития всех форм творчества в городе Кировске.</w:t>
      </w:r>
    </w:p>
    <w:p>
      <w:pPr>
        <w:pStyle w:val="NoSpacing"/>
        <w:ind w:firstLine="993" w:left="-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Организатор</w:t>
      </w:r>
    </w:p>
    <w:p>
      <w:pPr>
        <w:pStyle w:val="NoSpacing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4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Организатором Мероприятия является муниципальная автономная организация дополнительного образования «Центр детского творчества «Хибины» города Кировска» (далее – Организатор, ЦДТ «Хибины»).</w:t>
      </w:r>
    </w:p>
    <w:p>
      <w:pPr>
        <w:pStyle w:val="NoSpacing"/>
        <w:numPr>
          <w:ilvl w:val="1"/>
          <w:numId w:val="4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 осуществляет подготовку и проведение Мероприятия в соответствии с настоящим Положением.</w:t>
      </w:r>
    </w:p>
    <w:p>
      <w:pPr>
        <w:pStyle w:val="NoSpacing"/>
        <w:numPr>
          <w:ilvl w:val="1"/>
          <w:numId w:val="4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 оставляет за собой право вносить изменения в Положение в случае появления объективных причин. Обо всех изменениях руководители участников Мероприятия будут оповещены по электронному адресу и\или телефону, указанным при регистрации.</w:t>
      </w:r>
    </w:p>
    <w:p>
      <w:pPr>
        <w:pStyle w:val="NoSpacing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Участники и условия участия</w:t>
      </w:r>
    </w:p>
    <w:p>
      <w:pPr>
        <w:pStyle w:val="NoSpacing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Участниками Мероприятия могут быть обучающиеся образовательных организаций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возрасте от 10 до 17 лет включительно (далее – Участники). </w:t>
      </w:r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Формат участия — индивидуальный.</w:t>
      </w:r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 готовятся самостоятельно и/или под руководством педагогов образовательной организации или родителя, законного представителя (далее – Руководитель). Один Руководитель может одновременно готовить несколько Участников.</w:t>
      </w:r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участия в Мероприятии Руководителям или Участникам необходимо </w:t>
      </w:r>
      <w:r>
        <w:rPr>
          <w:rFonts w:cs="Times New Roman" w:ascii="Times New Roman" w:hAnsi="Times New Roman"/>
          <w:bCs/>
          <w:sz w:val="24"/>
          <w:szCs w:val="24"/>
        </w:rPr>
        <w:t>в срок не позднее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22 ноября 2025 года </w:t>
      </w:r>
      <w:r>
        <w:rPr>
          <w:rFonts w:cs="Times New Roman" w:ascii="Times New Roman" w:hAnsi="Times New Roman"/>
          <w:bCs/>
          <w:sz w:val="24"/>
          <w:szCs w:val="24"/>
        </w:rPr>
        <w:t>заполнить электронную заявку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(п. 4.5. Положения).</w:t>
      </w:r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Электронная заявка: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https://forms.yandex.ru/u/68f39933068ff0a8e6b52f14</w:t>
        </w:r>
      </w:hyperlink>
    </w:p>
    <w:p>
      <w:pPr>
        <w:pStyle w:val="NoSpacing"/>
        <w:numPr>
          <w:ilvl w:val="1"/>
          <w:numId w:val="5"/>
        </w:numPr>
        <w:spacing w:before="0" w:after="0"/>
        <w:ind w:firstLine="851" w:left="0"/>
        <w:contextualSpacing/>
        <w:jc w:val="both"/>
        <w:rPr/>
      </w:pPr>
      <w:r>
        <w:rPr>
          <w:rStyle w:val="Hyperlink"/>
          <w:rFonts w:cs="Times New Roman" w:ascii="Times New Roman" w:hAnsi="Times New Roman"/>
          <w:b w:val="false"/>
          <w:bCs w:val="false"/>
          <w:color w:val="auto"/>
          <w:sz w:val="24"/>
          <w:szCs w:val="24"/>
          <w:u w:val="none"/>
        </w:rPr>
        <w:t>Рекомендуется участие каждого Чтеца вместе с группой поддержки, включающей друзей, одноклассников, родственников и взрослых наставников (родителей, учителей, руководителей кружков и секций). Группу поддержки формируют сами участники по собственному выбору среди сверстников и взрослых, проявляющих интерес к развитию в сфере литературных чтений. Рекомендуемый состав группы включает одного взрослого руководителя и двух участников 10–17 лет.</w:t>
      </w:r>
    </w:p>
    <w:p>
      <w:pPr>
        <w:pStyle w:val="NoSpacing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Style w:val="Hyperlink"/>
          <w:rFonts w:ascii="Times New Roman" w:hAnsi="Times New Roman" w:cs="Times New Roman"/>
          <w:b w:val="false"/>
          <w:bCs w:val="false"/>
          <w:color w:val="auto"/>
          <w:sz w:val="24"/>
          <w:szCs w:val="24"/>
          <w:u w:val="none"/>
        </w:rPr>
      </w:pPr>
      <w:r>
        <w:rPr/>
      </w:r>
    </w:p>
    <w:p>
      <w:pPr>
        <w:pStyle w:val="NoSpacing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Порядок и условия проведения мероприятия</w:t>
      </w:r>
    </w:p>
    <w:p>
      <w:pPr>
        <w:pStyle w:val="NoSpacing"/>
        <w:spacing w:before="0"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Мероприятие состоится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в очном формате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26 ноября 2025 года в 17:00</w:t>
      </w:r>
      <w:r>
        <w:rPr>
          <w:rFonts w:cs="Times New Roman" w:ascii="Times New Roman" w:hAnsi="Times New Roman"/>
          <w:sz w:val="24"/>
          <w:szCs w:val="24"/>
        </w:rPr>
        <w:t xml:space="preserve"> в фойе ЦДТ «Хибины» по адресу: г. Кировск, пр. Ленина, д. 5.</w:t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>
          <w:b/>
          <w:bCs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Программа Мероприятия: </w:t>
      </w:r>
    </w:p>
    <w:p>
      <w:pPr>
        <w:pStyle w:val="NoSpacing"/>
        <w:spacing w:before="0" w:after="0"/>
        <w:ind w:left="794"/>
        <w:contextualSpacing/>
        <w:jc w:val="both"/>
        <w:rPr>
          <w:bCs/>
          <w:shd w:fill="FFFFFF" w:val="clear"/>
        </w:rPr>
      </w:pP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С 17:00 до 18:00 —  чтение стихов,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выступление с интерактивом от действующего педагога театрального объединения.</w:t>
      </w:r>
    </w:p>
    <w:p>
      <w:pPr>
        <w:pStyle w:val="NoSpacing"/>
        <w:spacing w:before="0" w:after="0"/>
        <w:ind w:left="794"/>
        <w:contextualSpacing/>
        <w:jc w:val="both"/>
        <w:rPr>
          <w:bCs/>
          <w:shd w:fill="FFFFFF" w:val="clear"/>
        </w:rPr>
      </w:pP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С 18:00 до 18:30 —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н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аграждение, нетворкинг,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 xml:space="preserve">обмен опытом, кофе-брейк и сбор обратной связи. </w:t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подробная информация про программу Мероприятия указана в Приложении № 1 к Положению.</w:t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Тематика поэтического выступления должна отражать осеннюю лирику, природу, размышления о красоте окружающего мира и человеческой душе. </w:t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исполнения каждого произведения ограниченно двумя-тремя минутами.</w:t>
      </w:r>
    </w:p>
    <w:p>
      <w:pPr>
        <w:pStyle w:val="NoSpacing"/>
        <w:numPr>
          <w:ilvl w:val="1"/>
          <w:numId w:val="6"/>
        </w:numPr>
        <w:spacing w:before="0" w:after="0"/>
        <w:ind w:firstLine="851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Выступление должно соответствовать заявленной тематике, быть выразительным и эмоционально насыщенным, демонстрируя артистичность и искренность исполнителя.</w:t>
      </w:r>
    </w:p>
    <w:p>
      <w:pPr>
        <w:pStyle w:val="NoSpacing"/>
        <w:spacing w:before="0" w:after="0"/>
        <w:contextualSpacing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Подведение итогов Мероприятия</w:t>
      </w:r>
    </w:p>
    <w:p>
      <w:pPr>
        <w:pStyle w:val="NoSpacing"/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Подведение итогов и награждение состоится в день проведения Мероприятия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ноября 2025 года.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рамках проведения Мероприятия созывается организационный комитет, который утверждается приказом (далее – Оргкомитет), в состав которого входят специалисты в области литературы и художественных искусств, а также представители педагогического сообщества города Кировска и педагоги в смежных сферах (по согласованию).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Оргкомитет принимает решение о вручении специальных дипломов по следующим номинациям: 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Открытие года (для тех, кто участвует впервые);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 артистизм;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 глубину прочтения;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 авторскую поэзию;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Творческое наследие «Хибин» (Юбилейная номинация к году ЦДТ «Хибины»);</w:t>
      </w:r>
    </w:p>
    <w:p>
      <w:pPr>
        <w:pStyle w:val="NoSpacing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Приз зрительский симпатий (Процедура вручения диплома с данной номинацией  указана в Приложении № 2 к Положению).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присуждении номинаций принимается Оргкомитетом. Итоговое количество присуждаемых номинаций и их состав могут быть изменены в зависимости от хода Мероприятия.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Оргкомитета окончательное и пересмотру не подлежит. В спорных вопросах окончательное решение остаѐтся за председателем Оргкомитета.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участники Мероприятия награждаются сертификатами за участие.</w:t>
      </w:r>
    </w:p>
    <w:p>
      <w:pPr>
        <w:pStyle w:val="NoSpacing"/>
        <w:numPr>
          <w:ilvl w:val="1"/>
          <w:numId w:val="7"/>
        </w:numPr>
        <w:spacing w:before="0" w:after="0"/>
        <w:ind w:firstLine="851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руководители, подготовившие Участников Мероприятия награждаются благодарностями. </w:t>
      </w:r>
    </w:p>
    <w:p>
      <w:pPr>
        <w:pStyle w:val="NoSpacing"/>
        <w:spacing w:before="0" w:after="0"/>
        <w:ind w:firstLine="851"/>
        <w:contextualSpacing/>
        <w:jc w:val="both"/>
        <w:rPr/>
      </w:pPr>
      <w:r>
        <w:rPr/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NoSpacing"/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8"/>
        </w:numPr>
        <w:spacing w:before="0" w:after="0"/>
        <w:ind w:firstLine="851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данные, запрашиваемые для участия в Мероприятии, указываются полностью для связи и обеспечения качественной подготовки сертификатов участников по итогам Мероприятия.</w:t>
      </w:r>
    </w:p>
    <w:p>
      <w:pPr>
        <w:pStyle w:val="NoSpacing"/>
        <w:numPr>
          <w:ilvl w:val="1"/>
          <w:numId w:val="8"/>
        </w:numPr>
        <w:spacing w:before="0" w:after="0"/>
        <w:ind w:firstLine="851" w:lef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Принимая участие в Мероприятии, гости соглашаются с тем, что фотографии с их участием могут быть опубликованы полностью на официальном сайте: </w:t>
      </w:r>
      <w:hyperlink r:id="rId3">
        <w:r>
          <w:rPr>
            <w:rStyle w:val="Hyperlink"/>
            <w:rFonts w:eastAsia="Arial" w:ascii="Times New Roman" w:hAnsi="Times New Roman"/>
            <w:sz w:val="24"/>
            <w:szCs w:val="24"/>
          </w:rPr>
          <w:t>http://cdt-khibiny.ru/</w:t>
        </w:r>
      </w:hyperlink>
      <w:r>
        <w:rPr>
          <w:rFonts w:ascii="Times New Roman" w:hAnsi="Times New Roman"/>
          <w:sz w:val="24"/>
          <w:szCs w:val="24"/>
        </w:rPr>
        <w:t xml:space="preserve"> и в официальной группе ЦДТ «Хибины» в социальной сети «ВКонтакте»: </w:t>
      </w:r>
      <w:hyperlink r:id="rId4">
        <w:r>
          <w:rPr>
            <w:rStyle w:val="Hyperlink"/>
            <w:rFonts w:eastAsia="Arial" w:ascii="Times New Roman" w:hAnsi="Times New Roman"/>
            <w:sz w:val="24"/>
            <w:szCs w:val="24"/>
          </w:rPr>
          <w:t>https://vk.com/cdthibiny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Spacing"/>
        <w:numPr>
          <w:ilvl w:val="1"/>
          <w:numId w:val="8"/>
        </w:numPr>
        <w:spacing w:before="0" w:after="0"/>
        <w:ind w:firstLine="851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ответственность за несовершеннолетних Участников лежит на сопровождающем лице (Руководитель, наставник, сопровождающее лицо и т.п.). </w:t>
      </w:r>
    </w:p>
    <w:p>
      <w:pPr>
        <w:pStyle w:val="NoSpacing"/>
        <w:spacing w:before="0"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Контактная информация</w:t>
      </w:r>
    </w:p>
    <w:p>
      <w:pPr>
        <w:pStyle w:val="NoSpacing"/>
        <w:spacing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1"/>
          <w:numId w:val="9"/>
        </w:numPr>
        <w:spacing w:before="0" w:after="0"/>
        <w:ind w:firstLine="851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Вся информация о ходе проведения и об итогах Мероприятия будет опубликована на официальном сайте  Организатора </w:t>
      </w:r>
      <w:hyperlink r:id="rId5">
        <w:r>
          <w:rPr>
            <w:rStyle w:val="Hyperlink"/>
            <w:rFonts w:eastAsia="Arial" w:cs="Times New Roman" w:ascii="Times New Roman" w:hAnsi="Times New Roman"/>
            <w:sz w:val="24"/>
            <w:szCs w:val="24"/>
          </w:rPr>
          <w:t>http://cdt-khibiny.ru/</w:t>
        </w:r>
      </w:hyperlink>
      <w:r>
        <w:rPr>
          <w:rStyle w:val="Hyperlink"/>
          <w:rFonts w:eastAsia="Arial"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Style w:val="Hyperlink"/>
          <w:rFonts w:eastAsia="Arial" w:cs="Times New Roman" w:ascii="Times New Roman" w:hAnsi="Times New Roman"/>
          <w:color w:val="000000"/>
          <w:sz w:val="24"/>
          <w:szCs w:val="24"/>
          <w:u w:val="none"/>
        </w:rPr>
        <w:t>и в</w:t>
      </w:r>
      <w:r>
        <w:rPr>
          <w:rFonts w:cs="Times New Roman" w:ascii="Times New Roman" w:hAnsi="Times New Roman"/>
          <w:sz w:val="24"/>
          <w:szCs w:val="24"/>
        </w:rPr>
        <w:t xml:space="preserve"> группе Организатора в социальной сети «Вконтакте» </w:t>
      </w:r>
      <w:hyperlink r:id="rId6">
        <w:r>
          <w:rPr>
            <w:rStyle w:val="Hyperlink"/>
            <w:rFonts w:eastAsia="Arial" w:cs="Times New Roman" w:ascii="Times New Roman" w:hAnsi="Times New Roman"/>
            <w:sz w:val="24"/>
            <w:szCs w:val="24"/>
          </w:rPr>
          <w:t>https://vk.com/cdthibiny</w:t>
        </w:r>
      </w:hyperlink>
      <w:r>
        <w:rPr>
          <w:rStyle w:val="Hyperlink"/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срок не позднее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6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ноября 2025 года.</w:t>
      </w:r>
    </w:p>
    <w:p>
      <w:pPr>
        <w:pStyle w:val="NoSpacing"/>
        <w:numPr>
          <w:ilvl w:val="1"/>
          <w:numId w:val="9"/>
        </w:numPr>
        <w:spacing w:before="0" w:after="0"/>
        <w:ind w:firstLine="851" w:lef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Координаторы Мероприятия: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276" w:leader="none"/>
          <w:tab w:val="left" w:pos="2893" w:leader="none"/>
          <w:tab w:val="left" w:pos="4369" w:leader="none"/>
          <w:tab w:val="left" w:pos="5533" w:leader="none"/>
          <w:tab w:val="left" w:pos="7279" w:leader="none"/>
        </w:tabs>
        <w:spacing w:lineRule="auto" w:line="235"/>
        <w:ind w:firstLine="851" w:left="0" w:right="-5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Бурова Анастасия Геннадьевна,</w:t>
      </w:r>
      <w:r>
        <w:rPr>
          <w:bCs/>
          <w:sz w:val="24"/>
          <w:szCs w:val="24"/>
        </w:rPr>
        <w:t xml:space="preserve"> педагог-организатор ЦДТ «Хибины», куратор Мероприятия, тел. 89535241137, адрес эл. почты: </w:t>
      </w:r>
      <w:hyperlink r:id="rId7">
        <w:r>
          <w:rPr>
            <w:rStyle w:val="Hyperlink"/>
            <w:bCs/>
            <w:sz w:val="24"/>
            <w:szCs w:val="24"/>
          </w:rPr>
          <w:t>burova_anastasiya@cdt-khibiny.ru</w:t>
        </w:r>
      </w:hyperlink>
      <w:r>
        <w:rPr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276" w:leader="none"/>
          <w:tab w:val="left" w:pos="2893" w:leader="none"/>
          <w:tab w:val="left" w:pos="4369" w:leader="none"/>
          <w:tab w:val="left" w:pos="5533" w:leader="none"/>
          <w:tab w:val="left" w:pos="7279" w:leader="none"/>
        </w:tabs>
        <w:spacing w:lineRule="auto" w:line="235"/>
        <w:ind w:firstLine="851" w:left="0" w:right="-57"/>
        <w:jc w:val="both"/>
        <w:rPr/>
      </w:pPr>
      <w:r>
        <w:rPr>
          <w:rStyle w:val="Hyperlink"/>
          <w:b/>
          <w:bCs/>
          <w:color w:val="000000"/>
          <w:sz w:val="24"/>
          <w:szCs w:val="24"/>
          <w:u w:val="none"/>
        </w:rPr>
        <w:t>Латипова Разида Назифовна</w:t>
      </w:r>
      <w:r>
        <w:rPr>
          <w:rStyle w:val="Hyperlink"/>
          <w:color w:val="000000"/>
          <w:sz w:val="24"/>
          <w:szCs w:val="24"/>
          <w:u w:val="none"/>
        </w:rPr>
        <w:t xml:space="preserve">, методист ЦДТ «Хибины», </w:t>
      </w:r>
      <w:hyperlink r:id="rId8">
        <w:r>
          <w:rPr>
            <w:rStyle w:val="Hyperlink"/>
            <w:color w:val="000000"/>
            <w:sz w:val="24"/>
            <w:szCs w:val="24"/>
            <w:u w:val="none"/>
          </w:rPr>
          <w:t>razida_latipova@cdt-khibiny.ru</w:t>
        </w:r>
      </w:hyperlink>
      <w:r>
        <w:rPr>
          <w:rStyle w:val="Hyperlink"/>
          <w:color w:val="000000"/>
          <w:sz w:val="24"/>
          <w:szCs w:val="24"/>
          <w:u w:val="none"/>
        </w:rPr>
        <w:t xml:space="preserve"> </w:t>
      </w:r>
    </w:p>
    <w:p>
      <w:pPr>
        <w:pStyle w:val="ListParagraph"/>
        <w:tabs>
          <w:tab w:val="clear" w:pos="720"/>
          <w:tab w:val="left" w:pos="1276" w:leader="none"/>
          <w:tab w:val="left" w:pos="2893" w:leader="none"/>
          <w:tab w:val="left" w:pos="4369" w:leader="none"/>
          <w:tab w:val="left" w:pos="5533" w:leader="none"/>
          <w:tab w:val="left" w:pos="7279" w:leader="none"/>
        </w:tabs>
        <w:spacing w:lineRule="auto" w:line="235"/>
        <w:ind w:left="851" w:right="-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73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>ДАННОЕ ПОЛОЖЕНИЕ ЯВЛЯЕТСЯ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  <w:t xml:space="preserve">ОФИЦИАЛЬНЫМ ПРИГЛАШЕНИЕМ НА МЕРОПРИЯТИЕ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  <w:r>
        <w:br w:type="page"/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открытого муниципального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литературного вечера «Листопад строк»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Программа Мероприятия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Часть I: Поэтический марафон и выступление с интерактивом от действующего педагога театрального объединения.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проведения: с 17:00 до 18:00 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Начало мероприятия: Официальное открытие вечера ведущим. Короткое приветствие и введение в программу мероприятия.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Художественный раздел: </w:t>
      </w:r>
      <w:r>
        <w:rPr>
          <w:rFonts w:ascii="Times New Roman" w:hAnsi="Times New Roman"/>
          <w:sz w:val="24"/>
          <w:szCs w:val="24"/>
        </w:rPr>
        <w:t xml:space="preserve">Участники представляют стихи собственного сочинения либо избранные классические произведения русских и зарубежных авторов. Выступления проходят последовательно согласно предварительной заявочной программе.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Выступление от педагога театрального объединения:</w:t>
      </w:r>
      <w:r>
        <w:rPr>
          <w:rFonts w:ascii="Times New Roman" w:hAnsi="Times New Roman"/>
          <w:sz w:val="24"/>
          <w:szCs w:val="24"/>
        </w:rPr>
        <w:t xml:space="preserve"> педагог театрального объединения проведёт мастер-класс, направленный на изучение литературного творчества и освоение техник сценического выражения. Во время выступления участники смогут погрузиться в искусство слова и актёрского мастерства, обогатив свои представления о литературном процессе и сценическом искусстве.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Часть II: Общение, творческие контакты, 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награждение и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 обратная связь.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Время проведения: с 18:00 до 18:30 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i w:val="false"/>
          <w:iCs w:val="false"/>
          <w:sz w:val="24"/>
          <w:szCs w:val="24"/>
          <w:lang w:eastAsia="ru-RU"/>
        </w:rPr>
        <w:t>Свободное общение (нетворкинг):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Формат свободного общения для преподавателей и участников мероприятия.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Торжественное награждение: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Все участники получают сертификаты и специальные дипломы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по номинациям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за участие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в мероприятии. Призёры и победители в данном мероприятии не определяются, так как основная цель — поддержка и мотивация юного литературного творчества. 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Анкетирование и сбор отзывов: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Во время кофе-брейка организаторы собирают анкеты обратной связи от участников мероприятия, включающие пожелания и рекомендации по проведению аналогичных мероприятий в будущем. 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открытого муниципального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литературного вечера «Листопад строк»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right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>Процедура вручения диплома с номинацией «Приз зрительских симпатий» на литературном вечере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1. Начало голосования: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Ведущая объявляет начало процедуры определения победителя в номинации «Приз зрительских симпатий».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 Выдача бюллетеней: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Каждый участник получает заранее подготовленный листочек («бюллетень»), на котором указаны имена всех выступающих авторов и произведения, которые они читали. Ведущая напоминает правила голосования: каждый участник должен поставить одну отметку напротив имени автора, выступление которого понравилось больше всего. Голосовать за самого себя запрещено.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 Время для заполнения: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Участникам даётся пять минут для того, чтобы сделать свой выбор и заполнить бюллетени. Листочки остаются анонимными.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4. Сбор голосов: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 истечении отведенного времени ведущий собирает заполненные бюллетени и передаёт их специально назначенным членам О</w:t>
      </w:r>
      <w:bookmarkStart w:id="1" w:name="_GoBack"/>
      <w:bookmarkEnd w:id="1"/>
      <w:r>
        <w:rPr>
          <w:rFonts w:eastAsia="Times New Roman" w:ascii="Times New Roman" w:hAnsi="Times New Roman"/>
          <w:sz w:val="24"/>
          <w:szCs w:val="24"/>
          <w:lang w:eastAsia="ru-RU"/>
        </w:rPr>
        <w:t>ргкомитета для подсчета результатов.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 Подсчет голосов: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Организатор совместно с Организационным комитетом считают голоса и определяют победителя в номинации, набравшего наибольшее количество голосов.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 Награждение дипломом: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Организаторы вручают победителю специальный диплом, подтверждающий победу в номинации.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20"/>
          <w:tab w:val="left" w:pos="8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sectPr>
      <w:type w:val="nextPage"/>
      <w:pgSz w:w="11906" w:h="16838"/>
      <w:pgMar w:left="1560" w:right="851" w:gutter="0" w:header="0" w:top="851" w:footer="0" w:bottom="851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auto"/>
    <w:pitch w:val="variable"/>
  </w:font>
  <w:font w:name="Wingdings">
    <w:charset w:val="01"/>
    <w:family w:val="auto"/>
    <w:pitch w:val="variable"/>
  </w:font>
  <w:font w:name="Noto Sans Symbols">
    <w:charset w:val="01"/>
    <w:family w:val="roman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DejaVu Sans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  <w:b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4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4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4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4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4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4"/>
        <w:rFonts w:ascii="Times New Roman" w:hAnsi="Times New Roman" w:cs="Times New Roman"/>
      </w:r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color w:val="auto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36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" w:cs="Noto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MS Mincho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link w:val="11"/>
    <w:uiPriority w:val="9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i/>
      <w:iCs/>
      <w:color w:val="365F91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color w:val="365F91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i/>
      <w:iCs/>
      <w:color w:val="595959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color w:val="595959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color w:val="272727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color w:val="272727"/>
    </w:rPr>
  </w:style>
  <w:style w:type="character" w:styleId="Style5" w:customStyle="1">
    <w:name w:val="Заголовок Знак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uiPriority w:val="11"/>
    <w:qFormat/>
    <w:rPr>
      <w:color w:val="595959"/>
      <w:spacing w:val="15"/>
      <w:sz w:val="28"/>
      <w:szCs w:val="28"/>
    </w:rPr>
  </w:style>
  <w:style w:type="character" w:styleId="21" w:customStyle="1">
    <w:name w:val="Цитата 2 Знак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Style7" w:customStyle="1">
    <w:name w:val="Выделенная цитата Знак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1" w:customStyle="1">
    <w:name w:val="Текст сноски Знак1"/>
    <w:uiPriority w:val="99"/>
    <w:semiHidden/>
    <w:qFormat/>
    <w:rPr>
      <w:sz w:val="20"/>
      <w:szCs w:val="20"/>
    </w:rPr>
  </w:style>
  <w:style w:type="character" w:styleId="Style10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semiHidden/>
    <w:qFormat/>
    <w:rPr>
      <w:sz w:val="20"/>
      <w:szCs w:val="20"/>
    </w:rPr>
  </w:style>
  <w:style w:type="character" w:styleId="Style1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sz w:val="24"/>
      <w:szCs w:val="24"/>
      <w:lang w:val="ru-RU" w:bidi="ar-SA"/>
    </w:rPr>
  </w:style>
  <w:style w:type="character" w:styleId="WW8Num3z1" w:customStyle="1">
    <w:name w:val="WW8Num3z1"/>
    <w:qFormat/>
    <w:rPr>
      <w:lang w:val="ru-RU" w:bidi="ar-SA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color w:val="000000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/>
  </w:style>
  <w:style w:type="character" w:styleId="WW8Num9z0" w:customStyle="1">
    <w:name w:val="WW8Num9z0"/>
    <w:qFormat/>
    <w:rPr>
      <w:lang w:val="ru-RU" w:bidi="ar-SA"/>
    </w:rPr>
  </w:style>
  <w:style w:type="character" w:styleId="WW8Num9z1" w:customStyle="1">
    <w:name w:val="WW8Num9z1"/>
    <w:qFormat/>
    <w:rPr>
      <w:rFonts w:ascii="Times New Roman" w:hAnsi="Times New Roman" w:eastAsia="Times New Roman" w:cs="Times New Roman"/>
      <w:b w:val="false"/>
      <w:bCs w:val="false"/>
      <w:i w:val="false"/>
      <w:iCs w:val="false"/>
      <w:sz w:val="24"/>
      <w:szCs w:val="24"/>
      <w:lang w:val="ru-RU" w:bidi="ar-SA"/>
    </w:rPr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WW8Num14z1" w:customStyle="1">
    <w:name w:val="WW8Num14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/>
      <w:bCs/>
      <w:i w:val="false"/>
      <w:iCs w:val="false"/>
      <w:sz w:val="24"/>
      <w:szCs w:val="24"/>
      <w:lang w:val="ru-RU" w:bidi="ar-SA"/>
    </w:rPr>
  </w:style>
  <w:style w:type="character" w:styleId="WW8Num15z1" w:customStyle="1">
    <w:name w:val="WW8Num15z1"/>
    <w:qFormat/>
    <w:rPr>
      <w:rFonts w:ascii="Times New Roman" w:hAnsi="Times New Roman" w:eastAsia="Times New Roman" w:cs="Times New Roman"/>
      <w:b w:val="false"/>
      <w:bCs w:val="false"/>
      <w:i w:val="false"/>
      <w:iCs w:val="false"/>
      <w:sz w:val="24"/>
      <w:szCs w:val="24"/>
      <w:lang w:val="ru-RU" w:bidi="ar-SA"/>
    </w:rPr>
  </w:style>
  <w:style w:type="character" w:styleId="WW8Num15z2" w:customStyle="1">
    <w:name w:val="WW8Num15z2"/>
    <w:qFormat/>
    <w:rPr>
      <w:rFonts w:ascii="Symbol" w:hAnsi="Symbol" w:eastAsia="Symbol" w:cs="Symbol"/>
      <w:b w:val="false"/>
      <w:bCs w:val="false"/>
      <w:i w:val="false"/>
      <w:iCs w:val="false"/>
      <w:sz w:val="20"/>
      <w:szCs w:val="20"/>
      <w:lang w:val="ru-RU" w:bidi="ar-SA"/>
    </w:rPr>
  </w:style>
  <w:style w:type="character" w:styleId="WW8Num15z3" w:customStyle="1">
    <w:name w:val="WW8Num15z3"/>
    <w:qFormat/>
    <w:rPr>
      <w:lang w:val="ru-RU" w:bidi="ar-SA"/>
    </w:rPr>
  </w:style>
  <w:style w:type="character" w:styleId="WW8Num16z0" w:customStyle="1">
    <w:name w:val="WW8Num16z0"/>
    <w:qFormat/>
    <w:rPr/>
  </w:style>
  <w:style w:type="character" w:styleId="WW8Num18z0" w:customStyle="1">
    <w:name w:val="WW8Num18z0"/>
    <w:qFormat/>
    <w:rPr>
      <w:rFonts w:ascii="Symbol" w:hAnsi="Symbol" w:cs="Symbol"/>
      <w:color w:val="000000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WW8Num18z2" w:customStyle="1">
    <w:name w:val="WW8Num18z2"/>
    <w:qFormat/>
    <w:rPr>
      <w:rFonts w:ascii="Noto Sans Symbols" w:hAnsi="Noto Sans Symbols" w:eastAsia="Noto Sans Symbols" w:cs="Noto Sans Symbols"/>
    </w:rPr>
  </w:style>
  <w:style w:type="character" w:styleId="WW8NumSt5z0" w:customStyle="1">
    <w:name w:val="WW8NumSt5z0"/>
    <w:qFormat/>
    <w:rPr>
      <w:rFonts w:ascii="Times New Roman" w:hAnsi="Times New Roman" w:cs="Times New Roman"/>
    </w:rPr>
  </w:style>
  <w:style w:type="character" w:styleId="apple-converted-space" w:customStyle="1">
    <w:name w:val="apple-converted-space"/>
    <w:qFormat/>
    <w:rPr/>
  </w:style>
  <w:style w:type="character" w:styleId="Style13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user-accountname" w:customStyle="1">
    <w:name w:val="user-account__name"/>
    <w:qFormat/>
    <w:rPr/>
  </w:style>
  <w:style w:type="character" w:styleId="12" w:customStyle="1">
    <w:name w:val="Заголовок 1 Знак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Style14" w:customStyle="1">
    <w:name w:val="Текст примечания Знак"/>
    <w:basedOn w:val="DefaultParagraphFont"/>
    <w:qFormat/>
    <w:rPr/>
  </w:style>
  <w:style w:type="character" w:styleId="Style15" w:customStyle="1">
    <w:name w:val="Тема примечания Знак"/>
    <w:qFormat/>
    <w:rPr>
      <w:b/>
      <w:bCs/>
    </w:rPr>
  </w:style>
  <w:style w:type="character" w:styleId="Style16" w:customStyle="1">
    <w:name w:val="Неразрешенное упоминание"/>
    <w:qFormat/>
    <w:rPr>
      <w:color w:val="605E5C"/>
      <w:shd w:fill="E1DFDD" w:val="clear"/>
    </w:rPr>
  </w:style>
  <w:style w:type="character" w:styleId="Style17" w:customStyle="1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8" w:customStyle="1">
    <w:name w:val="Символ нумерации"/>
    <w:qFormat/>
    <w:rPr/>
  </w:style>
  <w:style w:type="character" w:styleId="Style19" w:customStyle="1">
    <w:name w:val="Маркеры"/>
    <w:qFormat/>
    <w:rPr>
      <w:rFonts w:ascii="OpenSymbol" w:hAnsi="OpenSymbol" w:eastAsia="OpenSymbol" w:cs="OpenSymbol"/>
    </w:rPr>
  </w:style>
  <w:style w:type="character" w:styleId="13" w:customStyle="1">
    <w:name w:val="Заголовок №1_"/>
    <w:qFormat/>
    <w:rsid w:val="002354f9"/>
    <w:rPr>
      <w:rFonts w:eastAsia="Times New Roman" w:cs="Times New Roman"/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5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IndexHeading">
    <w:name w:val="index heading"/>
    <w:basedOn w:val="user"/>
    <w:pPr/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 w:customStyle="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unhideWhenUsed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ubtitle">
    <w:name w:val="Subtitle"/>
    <w:basedOn w:val="Normal"/>
    <w:next w:val="Normal"/>
    <w:link w:val="Style6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1"/>
    <w:qFormat/>
    <w:pPr>
      <w:widowControl w:val="false"/>
      <w:spacing w:lineRule="auto" w:line="240" w:before="0" w:after="0"/>
      <w:ind w:left="100"/>
    </w:pPr>
    <w:rPr>
      <w:rFonts w:ascii="Times New Roman" w:hAnsi="Times New Roman" w:eastAsia="Times New Roman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1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ans" w:cs="Noto 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en-US"/>
    </w:rPr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Style23" w:customStyle="1">
    <w:name w:val="Обычный (Интернет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14" w:customStyle="1">
    <w:name w:val="Заголовок №1"/>
    <w:basedOn w:val="Normal"/>
    <w:qFormat/>
    <w:rsid w:val="002354f9"/>
    <w:pPr>
      <w:suppressAutoHyphens w:val="fals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bCs/>
      <w:sz w:val="20"/>
      <w:szCs w:val="20"/>
      <w:lang w:bidi="hi-IN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6">
    <w:name w:val="Plain Table 1"/>
    <w:basedOn w:val="a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4">
    <w:name w:val="Plain Table 2"/>
    <w:basedOn w:val="a2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00000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C0504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9BBB59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8064A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4BACC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F7964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sz="4" w:space="0"/>
          <w:right w:val="single" w:color="C0504D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bottom w:val="single" w:color="C0504D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sz="4" w:space="0"/>
          <w:right w:val="single" w:color="9BBB59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bottom w:val="single" w:color="9BBB59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sz="4" w:space="0"/>
          <w:right w:val="single" w:color="8064A2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bottom w:val="single" w:color="8064A2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bottom w:val="single" w:color="4BACC6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sz="4" w:space="0"/>
          <w:right w:val="single" w:color="F7964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bottom w:val="single" w:color="F79646" w:sz="4" w:space="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C0504D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0504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0504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9BBB59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BBB5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BB5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8064A2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8064A2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064A2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4BACC6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BAC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BAC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79646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7964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7964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9BBB59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4BACC6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79646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00000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0504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C0504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BBB5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9BBB59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8064A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8064A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BAC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4BACC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7964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F7964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C0504D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9BBB59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8064A2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4BACC6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7964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8f39933068ff0a8e6b52f14" TargetMode="External"/><Relationship Id="rId3" Type="http://schemas.openxmlformats.org/officeDocument/2006/relationships/hyperlink" Target="http://cdt-khibiny.ru/" TargetMode="External"/><Relationship Id="rId4" Type="http://schemas.openxmlformats.org/officeDocument/2006/relationships/hyperlink" Target="https://vk.com/cdthibiny" TargetMode="External"/><Relationship Id="rId5" Type="http://schemas.openxmlformats.org/officeDocument/2006/relationships/hyperlink" Target="http://cdt-khibiny.ru/" TargetMode="External"/><Relationship Id="rId6" Type="http://schemas.openxmlformats.org/officeDocument/2006/relationships/hyperlink" Target="https://vk.com/cdthibiny" TargetMode="External"/><Relationship Id="rId7" Type="http://schemas.openxmlformats.org/officeDocument/2006/relationships/hyperlink" Target="mailto:burova_anastasiya@cdt-khibiny.ru" TargetMode="External"/><Relationship Id="rId8" Type="http://schemas.openxmlformats.org/officeDocument/2006/relationships/hyperlink" Target="mailto:razida_latipova@cdt-khibiny.r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Application>LibreOffice/24.8.5.2$Linux_X86_64 LibreOffice_project/480$Build-2</Application>
  <AppVersion>15.0000</AppVersion>
  <Pages>6</Pages>
  <Words>1242</Words>
  <Characters>9172</Characters>
  <CharactersWithSpaces>10320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2023-03-20T15:27:00Z</dcterms:created>
  <dc:creator>Voronova</dc:creator>
  <dc:description/>
  <dc:language>ru-RU</dc:language>
  <cp:lastModifiedBy/>
  <dcterms:modified xsi:type="dcterms:W3CDTF">2025-11-12T16:19:37Z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