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НАУКА В ПЕРЕХОДНЫЙ ПЕРИОД: ВЫБОР ПУТИ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Методические рекомендации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Критерии отбора респондентов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 Возраст: С учетом того, что предполагается привлечение широкого круга респондентов, которые находились на разных ступенях в иерархии в системе управления наукой и техникой, приблизительный возраст респондентов – 55–75 лет. В приоритете – респонденты более старшего возраста, зрелость которых пришлась на первое постсоветское десятилетие (люди 1960 г.р., и более старшие).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 Должностные позиции: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Респонденты – лица, которые в 1990-е гг. были руководителями науки и высшего образования, руководящими сотрудниками НИИ и вузов, фигурами, занятыми в наукоемком бизнесе.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Приоритет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лицами, которые застали 1990-е гг.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руководящих должностях: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вузов: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начиная от заведующих кафедр и руководителей подразделений до проректоров, научных руководителей, президентов, ректоров вузов и т.д.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НИИ: в позиции зав. отделом/сектором, зам. директора, директора; респонденты из филиалов и отделений РАН, региональных академий наук – председатели, их заместители и секретари различных научных советов, руководители секторов, отделений, члены президиумов и т.д.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руководителей науки и высшего образования: руководящие работники различных ведомств: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 системе центральных органов управления наукой (министерства и комитеты по науке и технике, высшему образованию и пр.),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занимавшиеся координацией науки, в том числе на региональном уровне.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региональных министерств науки и образования (орган мог иметь разные названия в зависимости от региона), региональных научно-координационных центров, члены комитетов по науке региональных законодательных органов, руководители соответствующих подразделений аппаратов губернаторов/глав регионов/президентов республик, в крупных городах – руководители соответствующих органов уровня города (подразделения аппарата мэра/главы города, комитетов городских дум/советов), руководящие работники отраслевых ведомств или их структурных подразделений, реализовывавших ведомственные программы поддержки науки; руководящие работники региональных фондов поддержки науки и инноваций, технологического развития и т.д.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Профильные общественные организации (например, ВОИР, Знание) - руководители и организаторы работы, руководители региональных отделений.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Интересным для Проекта был бы респондент - выходец из научной среды, который на волне смены экономической модели на рубеже 1980-х – 1990-х гг. оставил (полностью или частично) гос. сектор и создал успешный наукоемкий бизнес.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 может подпадать под несколько вышеуказанных критериев. В ходе интервью желательно получить от него ответы о его опыте работы в разных ролях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Возможно: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получатели мер поддержки науки: грантополучатели; участники реализации научно-технических программ разного уровня; получатели региональных льгот, различных мер поддержки ученых, научных учреждений или технологического предпринимательства; резиденты технопарков и особых экономических зон, которые реализовывали в них научно-технические проекты. НО в этом случае нужно соблюсти баланс по количеству респондентов, чтобы получатели мер поддержки не составляли абсолютного большинства опрошенных. Все же важно обеспечить участие в проекте лиц, принимавших управленческие решения.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Неактуально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обращение к респондентам, которые в 1990-е гг. были рядовыми сотрудниками (преподаватели, младшие научные сотрудники, научные сотрудники и т.д.). В противном случае велика вероятность существенного отхода от основного замысла поставленной и значительной перегруженности сведениями, которые не представляют ценности для проекта.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Распределение по специальностям: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с научными работниками следует учесть распределение по специальностям, чтобы оно было пропорциональным в отношении областей знания (естественные, технические, гуманитарные науки).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Региональный охват: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возможности - широкое представительство разных регионов. Желательно найти представителей региональных (республиканских) академий наук (Башкортостан, Татарстан, Чечня, Якутия). Желательно охватить регионы из разных федеральных округов. Желательно включить регионы с разным уровнем научно-технического потенциала в 90-е (количество научных учреждений и научных работников, доля в экономике региона). Желательно включить также разные населенные пункты (столицы субъектов/областные центры; крупные и небольшие города, возможно, сельская местность).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2. Методические указания для волонтеров (интервьюеров)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Для отбора наиболее релевантных потенциальных респондентов их кандидатуры важно предварительно согласовывать с сотрудниками Проекта.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Пристальное внимание нужно уделить предварительной подготовке к интервью. Прежде всего нужно изучить биографию респондента, найти как можно больше достоверной информации о нем. Эти данные позволят сотрудникам проекта заранее уточнить примерный перечень вопросов и сформирует понимание того, какие сведения респондент потенциально способен предоставить.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Предварительно ознакомиться с наименованиями органов и организаций, упоминаемых в вопросах интервью, чтобы верно их называть и правильно понимать ответы респондента.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Гайд готовится сотрудниками Проекта, рекомендуется придерживаться списка утвержденных вопросов. По запросу респондента вопросы можно предоставить ему заранее.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При проведении интервью рекомендуется (по возможности) подписать согласие респондента на участие в проекте. Нужно предупредить респондента о том, что разговор будет записываться и в дальнейшем использоваться для научных и научно-просветительских целей.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При определении места встречи для интервью важно учитывать возраст и состояние здоровья респондента, отдавать предпочтение тихим, спокойным локациям. Интервьюеру стоит убедиться, что во время проведения интервью не будет лишних звуков и не будут мешать другие внешние факторы. В помещении, где будет проходить интервью, не должно быть других лиц. Это позволит респонденту сосредоточиться на вопросах, минимизирует помехи на записи.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Нужно также заранее подготовить технику для записи, проверить ее исправность, наличие свободного места в устройстве. В случае онлайн-интервью рекомендуется проверить запись.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Предварительно проинформировать респондента об ориентировочной продолжительности интервью и самостоятельно следить за временем и динамикой процесса.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Ограничить продолжительность беседы 40 минутами. Планировать время с запасом, чтобы респондент успел в комфортном ему темпе ответить на вопросы интервью и возможные уточняющие вопросы.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Чтобы респондент не слишком переживал о гладкости и нешероховатости своих формулировок, можно предупредить, что запись – лишь черновой, рабочий материал, который в дальнейшем при необходимости может быть доработан, уточнён.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Можно предупредить респондента, что при необходимости, по его обоснованному требованию, какие-то фрагменты интервью не будут обнародованы, а ряд упоминаний имен может быть анонимизирован. Если в ходе интервью сам респондент сообщает, что дальше о чем-то расскажет «не под запись», этот фрагмент не должен быть опубликован.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Важно следить, чтобы респондент не «сбивался» на пересказ своей биографии (но это индивидуально, некоторые биографические подробности могут оказаться весьма полезны, с точки зрения замысла проекта), а рассуждал в проблемном ключе, о времени, о влиянии исторических процессов на сферу его профессиональных интересов. Свободный рассказ предпочтителен.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Не спешить в ходе проведения интервью и не поторапливать респондента. Стараться не прерывать рассказ респондента. Переходить к следующему вопросу или задавать уточняющие только после полного завершения респондентом ответа.. Стараться не задавать наводящих вопросов без необходимости (допустимы только в качестве уточняющих вопросов к отдельным деталям).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После завершения ответов на вопросы интервью предложить респонденту по его желанию добавить что-то к сказанному. </w:t>
      </w:r>
    </w:p>
    <w:p w:rsidR="00000000" w:rsidDel="00000000" w:rsidP="00000000" w:rsidRDefault="00000000" w:rsidRPr="00000000" w14:paraId="00000025">
      <w:pPr>
        <w:spacing w:after="0" w:line="240" w:lineRule="auto"/>
        <w:ind w:first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Использование материалов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собранные интервью будут транскрибированы и могут быть цитированы в статьях и коллективной монографии (с обязательным указанием имени интервьюера в сноске), отдельные глубинные интервью могут быть опубликованы (с согласия респондента).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9E04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9E04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9E04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9E04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9E04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9E04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9E04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9E0418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9E0418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9E0418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9E0418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9E0418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9E04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9E04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9E04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9E0418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9E0418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9E0418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9E04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9E0418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9E0418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11nsysfbv9apejSwVOu3MzyJdA==">CgMxLjA4AHIhMUVLVjZYbHZiNU9SSEV6dGR4SC1hcGhjTHdGVW5iaEJ2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2026-02-09T19:31:00Z</dcterms:created>
  <dc:creator>medievalis@list.ru</dc:creator>
</cp:coreProperties>
</file>