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851"/>
        </w:tabs>
        <w:spacing w:after="0" w:line="360" w:lineRule="exac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28970059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Механика проведения Всероссийской акции «Декламируй»</w:t>
      </w:r>
    </w:p>
    <w:p>
      <w:pPr>
        <w:tabs>
          <w:tab w:val="left" w:pos="851"/>
        </w:tabs>
        <w:spacing w:after="0" w:line="360" w:lineRule="exact"/>
        <w:ind w:right="443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Традиционно Всероссийская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акция «Декламируй»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Акция) приурочена ко Дню русского языка и дню рождения А.С. Пушкина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родоначальника современного русского языка. В этот день по всей 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звучат произведения поэтов и писателей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 классические,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 и современные, объедин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нные любовью к родному слову.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2026 году, объявленном Годом единства народов России, Акция приобретает особое смысловое звучание. Лейтмотивом становится литературное наследие, отражающее идею единства страны, многообразие культур и языков народов России, а также общие ценности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Родину,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дом, традиции и взаимное уважение.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центре внимания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произведения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авторов разных народов России,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писавших на национальных яз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ыках. В рамках Акции их тексты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исполняются на русском языке, при 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том обязательно сопровождаются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указанием на национальную принадлежность автора и язык оригинала. Дополнительно рекомендуется использование визуального сопровождения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ублирование текста на национальных языках России на экранах,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титрах или печатных материалах.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Таким образом, через единое звучание русского языка раскрывается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 многообразие культур страны, формируя образ России как пространства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 единства, диалога и взаимного уважения.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Медиа-материалы (пресс-релиз, афиши, фото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видеобанк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): </w:t>
      </w:r>
      <w:hyperlink r:id="rId13" w:history="1"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lang w:eastAsia="ru-RU"/>
          </w:rPr>
          <w:t xml:space="preserve">disk.yandex.ru</w:t>
        </w:r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lang w:eastAsia="ru-RU"/>
          </w:rPr>
          <w:t xml:space="preserve">/</w:t>
        </w:r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lang w:eastAsia="ru-RU"/>
          </w:rPr>
          <w:t xml:space="preserve">d</w:t>
        </w:r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lang w:eastAsia="ru-RU"/>
          </w:rPr>
          <w:t xml:space="preserve">/</w:t>
        </w:r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lang w:eastAsia="ru-RU"/>
          </w:rPr>
          <w:t xml:space="preserve">nXKAtoJlVXluJg</w:t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(материалы могут догружаться 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течение года)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Контакты руководителей региональных отделений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ВОД «Волонтеры культуры» </w:t>
      </w:r>
      <w:hyperlink r:id="rId14" w:history="1">
        <w:r>
          <w:rPr>
            <w:rStyle w:val="af4"/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 xml:space="preserve">disk.yandex.ru</w:t>
        </w:r>
        <w:r>
          <w:rPr>
            <w:rStyle w:val="af4"/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 xml:space="preserve">/</w:t>
        </w:r>
        <w:r>
          <w:rPr>
            <w:rStyle w:val="af4"/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 xml:space="preserve">i</w:t>
        </w:r>
        <w:r>
          <w:rPr>
            <w:rStyle w:val="af4"/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 xml:space="preserve">/0L3YPqtHzOpwvA</w:t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Даты проведения: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6 – 14 июня 2026 года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Официальные хештеги: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#Декламируй2026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Официальный старт – 6 июня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День рождения А.С. Пушкина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День русского языка: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Стартовые события акции проходят в период с 6 по 14 июня и приурочены ко Дню русского языка и дню рождению А.С. Пушкина;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После старта акция продолжается в течение всего года, охватывая значимые культурные и памятные даты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Рекомендуем заранее планировать мероприятия на весь календарный год, распределяя активности равномерно (например,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 сентября – День языков народов России)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Рекомендуется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регистрация каждого мероприятия на платформе «ДОБРО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Ф» согласно инструкции в Приложении.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Содействие популяризации русского языка как языка межнационального общения, формирование понимания русского языка как объединяющей основы для диалога народов России при сохранении их культурной и языковой самобытности;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Популяризация языков народов России через литературное наследие, укрепление идеи единства народов России через культуру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литературу. Развитие культурной идентичности через многоязычное наследие;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Формирование уважительного отношения к культурному многообразию страны, раскрытие общих ценностей народов России;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Поддержка и продвижение региональных авторов;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Создание площадок для презентации произведений писателей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поэтов из разных регионов России, включая авторов, работающих на национальных языках;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Формирование интереса к рег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иональной литературе, традициям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языкам как части единого культурного пространства России.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Организаторы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Всероссийское общественное движение добровольцев в сфере культуры «Волонтеры культуры» (далее – ВОД «Волонтеры культуры») при поддержке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культуры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агентства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делам молодежи и Ассоциации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Основные форматы: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1: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Театрализованные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и аудиовизуальные перформансы.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Суть формата: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Театрализованные постановки на основе поэзии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прозы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 сочетании с 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рской игрой, музыкальным сопровождением и визуальными эффектами (видеоарт, свет, фотоархивы).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Лейтмотив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рассказать историю страны через голоса разных народов – их традиции, переживания, любовь к Родине, образ дома, связь поколений. Сцены строятся на идее диалога культур: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разные языки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одни ценности,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«одна страна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множество голосов»,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«память, переданная через поколения».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Обязательный элемент: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указание языка оригинала произведения 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сли произведение написано на национальных языках России)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визуальное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дублирование текста на национальном языке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 наличии)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Площадки: театры, дома культуры, открытые сцены, музеи, общественные пространства.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2: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книг и произведений авторов России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(Рекомендуется совместно с региональными союзами литераторов)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2026 году особый акцент ставится на авторах, представляющих разные народы России, и раскрывающих тему единства через культурное многообразие.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 направлен на знакомство с произведениями писателей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поэтов разных народов России, включая авторов, пишущих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национальных языках. Особое внимание уделяется авторам,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творчество отражает: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культурные традиции региона;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национальную идентичность;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образ Родины и малой родины;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тему единства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страны.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Произведения могут читаться на русском языке, сопровождаться оригинальным текстом на национальном языке, дополняться рассказом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языке и культуре автора.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 подачи: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офлайн-презентации;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онлайн-встречи;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литературные выставки;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мультимедийные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форматы.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Продвижение культурного и языкового разнообразия России и формирование интереса к литературе народов России.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3: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«Декламируй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 Город говорит»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Идея: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маршрутов по культурным точкам города, связанным с писателями и поэтами России.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Каждая точка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встреча с автором, представляющим определ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нный регион или народ России, где участники рассказывают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биографии автора.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Дополнительно на экране или в печатных материалах размещается текст на национальном языке автора. 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Особенность формата: на каждой точке чтец не просто зачитывает произведение, а выступает как голос самого автора. Перед чтением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 кратко и эмоционально расска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зывает его биографию, например,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«Кем он был? Чем жил? В каких условиях были написаны его строки?»,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затем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декламирует произведение своего героя. 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усиления эффекта важно подбирать волонт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ров и участников, близких по типажу к образу автора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возрасту, полу, энергетике.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созда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эффект присутствия и живого диалога с прошлым.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Привлечь внимание к литературным памятникам и культурным пространствам в родном городе;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Подчеркнуть важность сохранения культурного наследия;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Сделать акцию «Декламируй» живой, вовлекающей формой культурной памяти региона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Методика реализации:</w:t>
      </w:r>
    </w:p>
    <w:p>
      <w:pPr>
        <w:numPr>
          <w:numId w:val="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Составление маршрута: поиск 3–5 точек в шаговой доступности (например, памятники, мемориальные доски, скверы имени писателей) с включением региональных авторов.</w:t>
      </w:r>
    </w:p>
    <w:p>
      <w:pPr>
        <w:numPr>
          <w:numId w:val="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участников-экскурсоводов: Школьников, студентов, волонт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ров культуры или сотрудников библиотек, которые 2–3 минуты расскажут об авторе с акцентом на том, как он повлиял на язык, культуру, память.</w:t>
      </w:r>
    </w:p>
    <w:p>
      <w:pPr>
        <w:numPr>
          <w:numId w:val="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Декламация на каждой точке: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тение отрывка из произведения автора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 русском или на родном языке народа России.</w:t>
      </w:r>
    </w:p>
    <w:p>
      <w:pPr>
        <w:numPr>
          <w:numId w:val="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экскурсии: аудитория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школьники, жители города, гости, туристы. Формат может быть, как прогулочным,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 и автобусным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вело-маршрутом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Дополнительно: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Можно оформить маршрут в виде буклета или метками Яндекс-карты с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аудиогидами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(через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изи-тревел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 аналогичные площадки);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наличии — завершить маршрут у памятника А.С. Пушкина;</w:t>
      </w:r>
    </w:p>
    <w:p>
      <w:pPr>
        <w:numPr>
          <w:numId w:val="19"/>
          <w:ilvl w:val="0"/>
        </w:numPr>
        <w:tabs>
          <w:tab w:val="left" w:pos="851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некоторых городах можно провести экскурсию на двух языках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русском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региональном.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4: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Перекличка веков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Суть формата: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Композиция из строк разных авторов, объедин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нных в один поэтический поток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будто разговор поколений. Участники (дети, молод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жь, взрослые) читают фрагменты на фоне музыки или архивных кадров.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Пример: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«Вы помните, вы вс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конечно, помните, (С. Есенин «Письмо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женщине») 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Что я могу еще сказать? (А.С. Пушкин «Евгений Онегин») 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Взволнованно ходили вы по комнате, (С. Есенин «Письмо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женщине»)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женщина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дитя, привыкшее играть»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(К.Д. Бальмонт «О женщина, дитя, привыкшее играть»).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Пример: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«Я знаю — никакой моей вины...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(Александр Твардовский, «Я знаю — никакой моей вины…»)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 помнишь, 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ша, дороги Смоленщины...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(Константин Симонов, «Ты помнишь, 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ша, дороги Смоленщины…»)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только раз видала рукопашный…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(Юлия Друнина, «Я только раз видала рукопашный…»)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Земля тонула в ярости огня»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(Михаил Львов, «Поклонимся великим тем годам»)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 подачи: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видеоролики, живые чтения,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аудиоколлажи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Можно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использовать музыку Чайковского, тишину, шум дождя, голос хроники.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5: Литературные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квартирники 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Суть формата: Формат предполагает атмосферу сопричастности,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которой участники становятся не только слушателями,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 и соучастниками культурного высказывания. Именно через такую форму наиболее полно раскрывается тема Года единства народов России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через личное переживание текста, голос, интонацию и непосредственную реакцию аудитории.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Содержательно квартирники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ориентированы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знакомство с произведениями авторов разных народов России. Произведения исполняются на русском языке, при возможности используются элементы оригинального звучания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отдельные строки,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аудиофрагменты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визуальное дублирование текста, что позволяет подчеркнуть культурное многообразие при сохранении единого смыслового поля.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одного события объединяются тексты разных регионов и традиций, раскрывающие общие темы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Родина, дом, память,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язык и связь поколений. 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Варианты тем:</w:t>
      </w:r>
    </w:p>
    <w:p>
      <w:pPr>
        <w:numPr>
          <w:numId w:val="1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«Голоса России»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оэзия и проза авторов разных народов России, объедин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нных темой Родины и культурной идентичности;</w:t>
      </w:r>
    </w:p>
    <w:p>
      <w:pPr>
        <w:numPr>
          <w:numId w:val="1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«Дом, в котором мы жив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м»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роизведения о доме, семье, традициях, передаче культурного опыта между поколениями;</w:t>
      </w:r>
    </w:p>
    <w:p>
      <w:pPr>
        <w:numPr>
          <w:numId w:val="1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«Слово и традиция»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вязь текста с культурными практиками: обряды, песни, фольклор, устная традиция;</w:t>
      </w:r>
    </w:p>
    <w:p>
      <w:pPr>
        <w:numPr>
          <w:numId w:val="17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«Моя Россия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моя история»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овременные региональные авторы и личные истории участников.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Дополнительно: живая музыка (гитара, аккордеон), выставки старых фото,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буктрейлеры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 6: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«Кулинарные пристрастия поэтов и писателей»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Через кухню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культуре. Формат раскрывает жизнь и характер поэтов и писателей через их гастрономические предпочтения. Участники изучают и воссоздают любимые блюда авторов.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направления: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аждый регион России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не только родина писателей и поэтов, но и уникальная гастрономическая традиция. Участникам предлагается выбрать автора, связанного с их краем,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рассказать о его любимом блюде, либо из его произведений, писем, воспоминаний, либо из местной кухни, с которой он был неразрывно связан.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</w:t>
      </w:r>
    </w:p>
    <w:p>
      <w:pPr>
        <w:numPr>
          <w:numId w:val="16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Познакомить участников и зрителей с литературным и гастрономическим наследием своего региона;</w:t>
      </w:r>
    </w:p>
    <w:p>
      <w:pPr>
        <w:numPr>
          <w:numId w:val="16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многообразие культур и кухонь народов России через призму литературы;</w:t>
      </w:r>
    </w:p>
    <w:p>
      <w:pPr>
        <w:numPr>
          <w:numId w:val="16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Подчеркнуть, как дом, еда и слово помогают сохранить память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личную, семейную, историческую.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Основной акцент: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егиональный писатель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региональное блюдо, участник выбирает писателя или поэта, чья судьба, творчество или биография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связаны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регионом. Рассказывает о любимом блюде этого автора, либо готовит национальное блюдо, с которым ассоциируется поэт или писатель. Дополнительно может быть прочитан отрывок из его текста, где упоминается еда, быт, дом, Родина.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Примеры:</w:t>
      </w:r>
    </w:p>
    <w:p>
      <w:pPr>
        <w:pStyle w:val="a7"/>
        <w:numPr>
          <w:numId w:val="2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Кубань: домашние воспоминания о Шолохове и донская кухня: вареники, жареная рыба;</w:t>
      </w:r>
    </w:p>
    <w:p>
      <w:pPr>
        <w:pStyle w:val="a7"/>
        <w:numPr>
          <w:numId w:val="2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Калмыкия: поэт Давид Кугультинов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калмыцкий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чай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борцоки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Форматы реализации:</w:t>
      </w:r>
    </w:p>
    <w:p>
      <w:pPr>
        <w:numPr>
          <w:numId w:val="15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Видеоролик/VK-клип – краткий рассказ о писателе + приготовление блюда + декламирование (на фоне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национальные мелодии, элементы традиционного костюма, книги автора);</w:t>
      </w:r>
    </w:p>
    <w:p>
      <w:pPr>
        <w:numPr>
          <w:numId w:val="15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Очное мероприятие (интеграция в фестивали, творческие встречи с угощением, мастер-классы от мам, бабушек, волонт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ров).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Рекомендации:</w:t>
      </w:r>
    </w:p>
    <w:p>
      <w:pPr>
        <w:pStyle w:val="a7"/>
        <w:numPr>
          <w:numId w:val="22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Оформлять материалы в национальном или региональном стиле;</w:t>
      </w:r>
    </w:p>
    <w:p>
      <w:pPr>
        <w:pStyle w:val="a7"/>
        <w:numPr>
          <w:numId w:val="22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указывать: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имя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автора, регион, источник рецепта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(воспоминание, книга, традиция);</w:t>
      </w:r>
    </w:p>
    <w:p>
      <w:pPr>
        <w:numPr>
          <w:numId w:val="14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забывать о стихах или прозе, как об обязательной части формата.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Формат 7: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Буктрейлеры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Название: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«Декламируй   —   кино   на   одну   минуту»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коротких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видеороликов-буктрейлеров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произведениям отечественных авторов. Это визуальные интерпретации литературных текстов, в которых – слово, образ, музыка и видеомонтаж объединяются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единое высказывание, раскрывающее идею единства России через общие смыслы, ценности и культурные образы.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центре формата – произведения, отражающие темы Родины, дома, памяти, традиций и связи поколений. Тексты исполняются на русском языке, при этом особое внимание уделяется раскрытию культурного контекста автора и созданию целостного художественного образа через визуальные и звуковые средства.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Формат:</w:t>
      </w:r>
    </w:p>
    <w:p>
      <w:pPr>
        <w:numPr>
          <w:numId w:val="1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60 секунд;</w:t>
      </w:r>
    </w:p>
    <w:p>
      <w:pPr>
        <w:numPr>
          <w:numId w:val="1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Форматы: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Reels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VK-клипы;</w:t>
      </w:r>
    </w:p>
    <w:p>
      <w:pPr>
        <w:numPr>
          <w:numId w:val="1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Видеоряд + текст на экране или за кадром + авторская музыка или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аудиоколлаж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</w:p>
    <w:p>
      <w:pPr>
        <w:numPr>
          <w:numId w:val="13"/>
          <w:ilvl w:val="0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Буктрейлеры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субтитрами или озвучкой на языках народов России.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</w:t>
      </w:r>
    </w:p>
    <w:p>
      <w:pPr>
        <w:numPr>
          <w:numId w:val="9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Сделать слово визуально привлекательным и эмоционально доступным;</w:t>
      </w:r>
    </w:p>
    <w:p>
      <w:pPr>
        <w:numPr>
          <w:numId w:val="9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Привлечь молодежную аудиторию в региональные команды, в том числе из сфер видеомонтажа,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блогинга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цифрового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креатива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</w:p>
    <w:p>
      <w:pPr>
        <w:numPr>
          <w:numId w:val="9"/>
          <w:ilvl w:val="0"/>
        </w:numPr>
        <w:tabs>
          <w:tab w:val="left" w:pos="851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Расширить представление о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декламировании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мультимедийной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форме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</w:p>
    <w:p>
      <w:pPr>
        <w:tabs>
          <w:tab w:val="left" w:pos="851"/>
        </w:tabs>
        <w:spacing w:after="0" w:line="360" w:lineRule="exact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Инструкция для присоединения к Всероссийской акции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«Декламируй» на платформе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Добро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для организаторов</w:t>
      </w:r>
    </w:p>
    <w:p>
      <w:pPr>
        <w:tabs>
          <w:tab w:val="left" w:pos="851"/>
        </w:tabs>
        <w:spacing w:after="0" w:line="360" w:lineRule="exact"/>
        <w:ind w:firstLine="709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Для 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чтобы присоединиться к проекту как партн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ру, необходимо зарегистрировать организацию, от лица которой Вы будете публиковать мероприятия, осуществлять набор волонтеров и другие функции.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Если Вы еще не зарегистрированы как организация, просим самостоятельно ознакомиться с платформой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Добро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изучить раздел «База знаний» по ссылке: </w:t>
      </w:r>
      <w:hyperlink r:id="rId15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https://dobro.ru/kb.</w:t>
        </w:r>
      </w:hyperlink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Найдите проект: Всероссийская акция «Декламируй»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платформе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Добро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разделе «проекты» поиска или перейдите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ссылке: </w:t>
      </w:r>
      <w:hyperlink r:id="rId16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(https://dobro.ru/project/10081870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</w:p>
    <w:p>
      <w:pPr>
        <w:tabs>
          <w:tab w:val="left" w:pos="851"/>
        </w:tabs>
        <w:spacing w:after="0" w:line="360" w:lineRule="exact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010785" cy="1524000"/>
                <wp:effectExtent l="171450" t="133350" r="361315" b="304800"/>
                <wp:wrapTight wrapText="bothSides">
                  <wp:wrapPolygon edited="0">
                    <wp:start x="903" y="-1889"/>
                    <wp:lineTo x="246" y="-1620"/>
                    <wp:lineTo x="-739" y="810"/>
                    <wp:lineTo x="-492" y="24030"/>
                    <wp:lineTo x="246" y="25920"/>
                    <wp:lineTo x="492" y="25920"/>
                    <wp:lineTo x="21926" y="25920"/>
                    <wp:lineTo x="22090" y="25920"/>
                    <wp:lineTo x="22829" y="24300"/>
                    <wp:lineTo x="22829" y="24030"/>
                    <wp:lineTo x="23075" y="19980"/>
                    <wp:lineTo x="23075" y="2430"/>
                    <wp:lineTo x="23158" y="1080"/>
                    <wp:lineTo x="22172" y="-1620"/>
                    <wp:lineTo x="21515" y="-1889"/>
                    <wp:lineTo x="903" y="-1889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17"/>
                        <a:srcRect l="3755" t="6538" r="6463" b="18742"/>
                        <a:stretch/>
                      </pic:blipFill>
                      <pic:spPr>
                        <a:xfrm>
                          <a:off x="0" y="0"/>
                          <a:ext cx="5010785" cy="15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8480;o:allowoverlap:true;o:allowincell:true;mso-position-horizontal-relative:margin;mso-position-horizontal:left;mso-position-vertical-relative:text;margin-top:24.35pt;mso-position-vertical:absolute;width:394.55pt;height:120.00pt;mso-wrap-distance-left:9.00pt;mso-wrap-distance-top:0.00pt;mso-wrap-distance-right:9.00pt;mso-wrap-distance-bottom:0.00pt;" wrapcoords="4181 -8744 1139 -7499 -3420 3750 -2277 111250 1139 120000 2278 120000 101509 120000 102269 120000 105690 112500 105690 111250 106829 92500 106829 11250 107213 5000 102648 -7499 99606 -8744 4181 -8744" stroked="f">
                <v:path textboxrect="0,0,0,0"/>
                <w10:wrap type="tight"/>
                <v:imagedata r:id="rId17" o:title=""/>
              </v:shape>
            </w:pict>
          </mc:Fallback>
        </mc:AlternateConten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Присоединитесь к проекту, нажмите кнопку «Стать партнером проекта»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337820</wp:posOffset>
                </wp:positionH>
                <wp:positionV relativeFrom="paragraph">
                  <wp:posOffset>404495</wp:posOffset>
                </wp:positionV>
                <wp:extent cx="4848860" cy="1724025"/>
                <wp:effectExtent l="171450" t="133350" r="370840" b="314325"/>
                <wp:wrapSquare wrapText="bothSides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4848860" cy="1724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7456;o:allowoverlap:true;o:allowincell:true;mso-position-horizontal-relative:margin;margin-left:26.60pt;mso-position-horizontal:absolute;mso-position-vertical-relative:text;margin-top:31.85pt;mso-position-vertical:absolute;width:381.80pt;height:135.75pt;mso-wrap-distance-left:9.00pt;mso-wrap-distance-top:0.00pt;mso-wrap-distance-right:9.00pt;mso-wrap-distance-bottom:0.00pt;" stroked="f">
                <v:path textboxrect="0,0,0,0"/>
                <w10:wrap type="square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Прикрепитесь в рамках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«Волонт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ры культуры» в новом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окне. Заполните анкету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После успешного заполнения мини-анкеты в правом верхнем углу окна появится уведомление «Заявка на партнерство успешно отправлена»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Ожидайте рассмотрения заявки на партнерство 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2-х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После успешного подтверждения заявки Вам необходимо перейти в профиль своей организации и нажать кнопку «Создать доброе дело» в рамках проекта «Всероссийская акция «Декламируй»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Создайте новое мероприятие, назовите его по примеру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Декламируй|Волгоградская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область»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Выберите в окне «Мероприятие в рамках проекта» – Всероссийская акция «Декламируй»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pStyle w:val="a7"/>
        <w:numPr>
          <w:numId w:val="15"/>
          <w:ilvl w:val="2"/>
        </w:numPr>
        <w:tabs>
          <w:tab w:val="left" w:pos="851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Заполните информацию, исходя из специфики своего мероприятия. При создании вакансий для волонтеров указывайте общие даты проекта для возможности присоединения новых участников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процессе реализации проекта с 6 по 14 июня 2026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Дополнительную информацию по регистрации мероприятия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 можете уточнить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блоке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«Баз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знаний» в разделах «Работа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мероприятиями» </w:t>
      </w:r>
      <w:hyperlink r:id="rId19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https://dobro.ru/kb/category/4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«Вакансии и варианты посещения» </w:t>
      </w:r>
      <w:hyperlink r:id="rId20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https://dobro.ru/kb/category/7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После окончания мероприятия не забудьте проставить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часы откликнувшимся волонтерам.</w:t>
      </w:r>
    </w:p>
    <w:p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418" w:right="1418" w:bottom="1701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Satoshi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02325246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11975146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360" w:lineRule="exact"/>
      <w:ind w:left="-567" w:firstLine="283"/>
      <w:jc w:val="right"/>
      <w:outlineLvl w:val="0"/>
      <w:rPr>
        <w:rFonts w:ascii="Times New Roman" w:hAnsi="Times New Roman" w:eastAsia="Times New Roman" w:cs="Times New Roman"/>
        <w:bCs/>
        <w:color w:val="000000"/>
        <w:sz w:val="28"/>
        <w:szCs w:val="28"/>
        <w:lang w:eastAsia="ru-RU"/>
      </w:rPr>
    </w:pPr>
    <w:r>
      <w:rPr>
        <w:rFonts w:ascii="Times New Roman" w:hAnsi="Times New Roman" w:eastAsia="Times New Roman" w:cs="Times New Roman"/>
        <w:bCs/>
        <w:color w:val="000000"/>
        <w:sz w:val="28"/>
        <w:szCs w:val="28"/>
        <w:lang w:eastAsia="ru-RU"/>
      </w:rPr>
      <w:t xml:space="preserve">Приложение</w:t>
    </w: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2D789E60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eastAsia="Times New Roman" w:cs="Times New Roman"/>
      </w:rPr>
    </w:lvl>
    <w:lvl w:ilvl="1" w:tentative="1" w:tplc="04190019">
      <w:start w:val="1"/>
      <w:numFmt w:val="lowerLetter"/>
      <w:lvlText w:val="%2."/>
      <w:lvlJc w:val="left"/>
      <w:pPr>
        <w:ind w:left="1224" w:hanging="360"/>
      </w:pPr>
    </w:lvl>
    <w:lvl w:ilvl="2" w:tentative="1" w:tplc="0419001B">
      <w:start w:val="1"/>
      <w:numFmt w:val="lowerRoman"/>
      <w:lvlText w:val="%3."/>
      <w:lvlJc w:val="right"/>
      <w:pPr>
        <w:ind w:left="1944" w:hanging="180"/>
      </w:pPr>
    </w:lvl>
    <w:lvl w:ilvl="3" w:tentative="1" w:tplc="0419000F">
      <w:start w:val="1"/>
      <w:numFmt w:val="decimal"/>
      <w:lvlText w:val="%4."/>
      <w:lvlJc w:val="left"/>
      <w:pPr>
        <w:ind w:left="2664" w:hanging="360"/>
      </w:pPr>
    </w:lvl>
    <w:lvl w:ilvl="4" w:tentative="1" w:tplc="04190019">
      <w:start w:val="1"/>
      <w:numFmt w:val="lowerLetter"/>
      <w:lvlText w:val="%5."/>
      <w:lvlJc w:val="left"/>
      <w:pPr>
        <w:ind w:left="3384" w:hanging="360"/>
      </w:pPr>
    </w:lvl>
    <w:lvl w:ilvl="5" w:tentative="1" w:tplc="0419001B">
      <w:start w:val="1"/>
      <w:numFmt w:val="lowerRoman"/>
      <w:lvlText w:val="%6."/>
      <w:lvlJc w:val="right"/>
      <w:pPr>
        <w:ind w:left="4104" w:hanging="180"/>
      </w:pPr>
    </w:lvl>
    <w:lvl w:ilvl="6" w:tentative="1" w:tplc="0419000F">
      <w:start w:val="1"/>
      <w:numFmt w:val="decimal"/>
      <w:lvlText w:val="%7."/>
      <w:lvlJc w:val="left"/>
      <w:pPr>
        <w:ind w:left="4824" w:hanging="360"/>
      </w:pPr>
    </w:lvl>
    <w:lvl w:ilvl="7" w:tentative="1" w:tplc="04190019">
      <w:start w:val="1"/>
      <w:numFmt w:val="lowerLetter"/>
      <w:lvlText w:val="%8."/>
      <w:lvlJc w:val="left"/>
      <w:pPr>
        <w:ind w:left="5544" w:hanging="360"/>
      </w:pPr>
    </w:lvl>
    <w:lvl w:ilvl="8" w:tentative="1" w:tplc="0419001B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BD9CAA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multiLevelType w:val="hybridMultilevel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multiLevelType w:val="hybridMultilevel"/>
    <w:lvl w:ilvl="0" w:tplc="BD9CAA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 w:tplc="BD9CAA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multiLevelType w:val="hybridMultilevel"/>
    <w:lvl w:ilvl="0" w:tplc="BD9CAA3A">
      <w:start w:val="1"/>
      <w:numFmt w:val="bullet"/>
      <w:lvlText w:val=""/>
      <w:lvlJc w:val="left"/>
      <w:pPr>
        <w:ind w:left="436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 w:tplc="5540E6A6">
      <w:start w:val="1"/>
      <w:numFmt w:val="decimal"/>
      <w:lvlText w:val="%1."/>
      <w:lvlJc w:val="left"/>
      <w:pPr>
        <w:ind w:left="44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20A8B4A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3A68079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ABE2882C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8D2C5BC2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 w:tplc="80DE6BA8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63B6A4F0">
      <w:numFmt w:val="bullet"/>
      <w:lvlText w:val="•"/>
      <w:lvlJc w:val="left"/>
      <w:pPr>
        <w:ind w:left="5961" w:hanging="360"/>
      </w:pPr>
      <w:rPr>
        <w:rFonts w:hint="default"/>
        <w:lang w:val="ru-RU" w:eastAsia="en-US" w:bidi="ar-SA"/>
      </w:rPr>
    </w:lvl>
    <w:lvl w:ilvl="7" w:tplc="1AC6A006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8" w:tplc="90E416D0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 w:tplc="BD9CAA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 w:tplc="BD9CAA3A">
      <w:start w:val="1"/>
      <w:numFmt w:val="bullet"/>
      <w:lvlText w:val=""/>
      <w:lvlJc w:val="left"/>
      <w:pPr>
        <w:ind w:left="436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 w:tplc="BD9CAA3A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 w:eastAsia="Symbol" w:cs="Symbol"/>
      </w:rPr>
    </w:lvl>
    <w:lvl w:ilvl="1" w:tentative="1" w:tplc="041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</w:num>
  <w:num w:numId="7">
    <w:abstractNumId w:val="1"/>
  </w:num>
  <w:num w:numId="8">
    <w:abstractNumId w:val="5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11"/>
  </w:num>
  <w:num w:numId="14">
    <w:abstractNumId w:val="4"/>
  </w:num>
  <w:num w:numId="15">
    <w:abstractNumId w:val="6"/>
  </w:num>
  <w:num w:numId="16">
    <w:abstractNumId w:val="9"/>
  </w:num>
  <w:num w:numId="17">
    <w:abstractNumId w:val="7"/>
  </w:num>
  <w:num w:numId="18">
    <w:abstractNumId w:val="10"/>
  </w:num>
  <w:num w:numId="19">
    <w:abstractNumId w:val="3"/>
  </w:num>
  <w:num w:numId="20">
    <w:abstractNumId w:val="14"/>
  </w:num>
  <w:num w:numId="21">
    <w:abstractNumId w:val="17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 w:val="true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Название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</w:style>
  <w:style w:type="paragraph" w:styleId="af0">
    <w:name w:val="Body Text"/>
    <w:basedOn w:val="a"/>
    <w:link w:val="af1"/>
    <w:uiPriority w:val="1"/>
    <w:qFormat/>
    <w:pPr>
      <w:widowControl w:val="off"/>
      <w:spacing w:after="0" w:line="240" w:lineRule="auto"/>
      <w:ind w:left="912"/>
    </w:pPr>
    <w:rPr>
      <w:rFonts w:ascii="Satoshi" w:hAnsi="Satoshi" w:eastAsia="Satoshi" w:cs="Satoshi"/>
      <w:lang w:val="en-US"/>
    </w:rPr>
  </w:style>
  <w:style w:type="character" w:styleId="af1" w:customStyle="1">
    <w:name w:val="Основной текст Знак"/>
    <w:basedOn w:val="a0"/>
    <w:link w:val="af0"/>
    <w:uiPriority w:val="1"/>
    <w:rPr>
      <w:rFonts w:ascii="Satoshi" w:hAnsi="Satoshi" w:eastAsia="Satoshi" w:cs="Satoshi"/>
      <w:lang w:val="en-US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styleId="af4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6" w:customStyle="1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disk.yandex.ru/d/nXKAtoJlVXluJg" TargetMode="External"/><Relationship Id="rId14" Type="http://schemas.openxmlformats.org/officeDocument/2006/relationships/hyperlink" Target="https://disk.yandex.ru/i/0L3YPqtHzOpwvA" TargetMode="External"/><Relationship Id="rId15" Type="http://schemas.openxmlformats.org/officeDocument/2006/relationships/hyperlink" Target="https://dobro.ru/kb" TargetMode="External"/><Relationship Id="rId16" Type="http://schemas.openxmlformats.org/officeDocument/2006/relationships/hyperlink" Target="https://dobro.ru/project/10081870" TargetMode="External"/><Relationship Id="rId17" Type="http://schemas.openxmlformats.org/officeDocument/2006/relationships/image" Target="media/image1.png"/><Relationship Id="rId18" Type="http://schemas.openxmlformats.org/officeDocument/2006/relationships/image" Target="media/image2.png"/><Relationship Id="rId19" Type="http://schemas.openxmlformats.org/officeDocument/2006/relationships/hyperlink" Target="https://dobro.ru/kb/category/4" TargetMode="External"/><Relationship Id="rId20" Type="http://schemas.openxmlformats.org/officeDocument/2006/relationships/hyperlink" Target="https://dobro.ru/kb/category/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7E82B2-3F14-47BA-BFB2-4399527D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12476</Characters>
  <CharactersWithSpaces>14635</CharactersWithSpaces>
  <Company/>
  <DocSecurity>0</DocSecurity>
  <HyperlinksChanged>false</HyperlinksChanged>
  <Lines>103</Lines>
  <LinksUpToDate>false</LinksUpToDate>
  <Pages>9</Pages>
  <Paragraphs>29</Paragraphs>
  <ScaleCrop>false</ScaleCrop>
  <SharedDoc>false</SharedDoc>
  <Template>Normal</Template>
  <TotalTime>60</TotalTime>
  <Words>2188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Фефилов</dc:creator>
  <cp:keywords/>
  <dc:description/>
  <cp:lastModifiedBy>dbrovkina</cp:lastModifiedBy>
  <cp:revision>32</cp:revision>
  <cp:lastPrinted>2026-05-12T07:16:00Z</cp:lastPrinted>
  <dcterms:created xsi:type="dcterms:W3CDTF">2026-05-19T12:22:00Z</dcterms:created>
  <dcterms:modified xsi:type="dcterms:W3CDTF">2026-05-20T16:12:00Z</dcterms:modified>
</cp:coreProperties>
</file>