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FF" w:rsidRPr="00507E76" w:rsidRDefault="00F91DFF" w:rsidP="00400036">
      <w:pPr>
        <w:pStyle w:val="a3"/>
        <w:ind w:left="7371" w:hanging="567"/>
        <w:rPr>
          <w:rFonts w:ascii="Times New Roman" w:hAnsi="Times New Roman"/>
          <w:color w:val="000000" w:themeColor="text1"/>
          <w:sz w:val="24"/>
          <w:szCs w:val="24"/>
        </w:rPr>
      </w:pPr>
      <w:r w:rsidRPr="00507E7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07E76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F91DFF" w:rsidRPr="00507E76" w:rsidRDefault="00F91DFF" w:rsidP="0040003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507E76">
        <w:rPr>
          <w:rFonts w:ascii="Times New Roman" w:hAnsi="Times New Roman"/>
          <w:color w:val="000000" w:themeColor="text1"/>
          <w:sz w:val="24"/>
          <w:szCs w:val="24"/>
        </w:rPr>
        <w:t>Приложение № 3</w:t>
      </w:r>
    </w:p>
    <w:p w:rsidR="00F91DFF" w:rsidRPr="00507E76" w:rsidRDefault="00F91DFF" w:rsidP="00400036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F91DFF" w:rsidRPr="00507E76" w:rsidRDefault="00F91DFF" w:rsidP="00400036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ar-SA"/>
        </w:rPr>
      </w:pPr>
    </w:p>
    <w:p w:rsidR="00F91DFF" w:rsidRPr="00507E76" w:rsidRDefault="00F91DFF" w:rsidP="00400036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ar-SA"/>
        </w:rPr>
      </w:pPr>
      <w:r w:rsidRPr="00507E76"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ar-SA"/>
        </w:rPr>
        <w:t>ПОДРОБНАЯ ПРОГРАММА С РЕМАРКАМИ И ЗОНОЙ ОТВЕТСТВЕННОСТИ.</w:t>
      </w:r>
    </w:p>
    <w:p w:rsidR="00F91DFF" w:rsidRPr="00507E76" w:rsidRDefault="00F91DFF" w:rsidP="00400036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</w:p>
    <w:p w:rsidR="00F91DFF" w:rsidRPr="00507E76" w:rsidRDefault="00F91DFF" w:rsidP="0040003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F91DFF" w:rsidRPr="00507E76" w:rsidRDefault="00F91DFF" w:rsidP="00400036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507E76">
        <w:rPr>
          <w:rFonts w:ascii="Times New Roman" w:hAnsi="Times New Roman"/>
          <w:color w:val="000000" w:themeColor="text1"/>
          <w:sz w:val="24"/>
          <w:szCs w:val="24"/>
        </w:rPr>
        <w:t xml:space="preserve">1 День </w:t>
      </w:r>
      <w:r w:rsidRPr="00507E7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18 октября 2019 (пятница)  </w:t>
      </w:r>
    </w:p>
    <w:p w:rsidR="00F91DFF" w:rsidRPr="00507E76" w:rsidRDefault="00F91DFF" w:rsidP="00400036">
      <w:pPr>
        <w:pStyle w:val="a3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  <w:r w:rsidRPr="00507E76">
        <w:rPr>
          <w:rFonts w:ascii="Times New Roman" w:hAnsi="Times New Roman"/>
          <w:i/>
          <w:color w:val="000000" w:themeColor="text1"/>
          <w:sz w:val="24"/>
          <w:szCs w:val="24"/>
        </w:rPr>
        <w:t>День встреч, новых знакомств, погружение.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6"/>
        <w:gridCol w:w="7401"/>
        <w:gridCol w:w="6237"/>
      </w:tblGrid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10/00 –11/00</w:t>
            </w:r>
          </w:p>
        </w:tc>
        <w:tc>
          <w:tcPr>
            <w:tcW w:w="7401" w:type="dxa"/>
          </w:tcPr>
          <w:p w:rsid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Заезд участников Слета. Общая мобилизация команд-участниц на </w:t>
            </w:r>
          </w:p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 /д вокзале.</w:t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  без исключения команды-участницы 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лета приезжают на ж/д вокзал. Орг. группа встречает команды, проводит первичный инструктаж для руководителей</w:t>
            </w:r>
            <w:r w:rsidR="00507E76"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команд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11/00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07E76"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11/30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Мемориальное культурно – просветительское мероприятие и  возложение цветов к мемориальной доске на ж/д вокзале. </w:t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 команды участницы торжественно строятся с флагами, проходит митинг. </w:t>
            </w:r>
          </w:p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507E7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ВАЖНО!</w:t>
            </w:r>
            <w:r w:rsidRPr="00507E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07E7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Всем с собой на митинг привезти цветы.</w:t>
            </w:r>
          </w:p>
        </w:tc>
      </w:tr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11/30 –12/00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Посадка в автобусы. Передвижение делегаций автобусами по маршруту: ж/д вокзал – река Куреньга.</w:t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Каждый отправляется на своем транспорте.</w:t>
            </w:r>
          </w:p>
        </w:tc>
      </w:tr>
      <w:tr w:rsidR="00F91DFF" w:rsidRPr="00507E76" w:rsidTr="00F91DFF">
        <w:trPr>
          <w:trHeight w:val="250"/>
        </w:trPr>
        <w:tc>
          <w:tcPr>
            <w:tcW w:w="1496" w:type="dxa"/>
            <w:vMerge w:val="restart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12/00 –12/30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Прибытие 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реке 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Куреньга.</w:t>
            </w:r>
          </w:p>
        </w:tc>
        <w:tc>
          <w:tcPr>
            <w:tcW w:w="6237" w:type="dxa"/>
            <w:vMerge w:val="restart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1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 прибыти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 Куреньгу все без исключения выгружают снаряжени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сектор К (камера хранения). 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507E7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" name="Рисунок 2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Производится парковка автомобилей в сектор П (парковка). Все водители транспортных средств ставят машины на парковку, которую им определили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организаторы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Во время слета машины по территории не 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передвигаются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 Исключение оставляется для машины оперативного реагирования. Далее все отправляются на плац. </w:t>
            </w:r>
          </w:p>
        </w:tc>
      </w:tr>
      <w:tr w:rsidR="00F91DFF" w:rsidRPr="00507E76" w:rsidTr="00F91DFF">
        <w:trPr>
          <w:trHeight w:val="267"/>
        </w:trPr>
        <w:tc>
          <w:tcPr>
            <w:tcW w:w="1496" w:type="dxa"/>
            <w:vMerge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Парковка автомобилей в сектор П.</w:t>
            </w:r>
          </w:p>
        </w:tc>
        <w:tc>
          <w:tcPr>
            <w:tcW w:w="6237" w:type="dxa"/>
            <w:vMerge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1DFF" w:rsidRPr="00507E76" w:rsidTr="00F91DFF">
        <w:trPr>
          <w:trHeight w:val="270"/>
        </w:trPr>
        <w:tc>
          <w:tcPr>
            <w:tcW w:w="1496" w:type="dxa"/>
            <w:vMerge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Построение на плацу.</w:t>
            </w:r>
          </w:p>
        </w:tc>
        <w:tc>
          <w:tcPr>
            <w:tcW w:w="6237" w:type="dxa"/>
            <w:vMerge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12/30 –13/00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Общее построение команд-участниц на плацу. Доведение личного состава об основных мероприятиях первого дня.</w:t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0" name="Рисунок 11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 плац все участники пребывают только с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складными туристическими стульями. </w:t>
            </w:r>
          </w:p>
        </w:tc>
      </w:tr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13/00 –13/15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Деление личного состава и переход в 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определенные 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сектор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ы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для инструктажа личного состава. </w:t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91DFF" w:rsidRPr="00507E76" w:rsidTr="00F91DFF">
        <w:trPr>
          <w:trHeight w:val="304"/>
        </w:trPr>
        <w:tc>
          <w:tcPr>
            <w:tcW w:w="1496" w:type="dxa"/>
            <w:vMerge w:val="restart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13/15 –14/30</w:t>
            </w:r>
          </w:p>
        </w:tc>
        <w:tc>
          <w:tcPr>
            <w:tcW w:w="7401" w:type="dxa"/>
            <w:vMerge w:val="restart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Инструктаж личного состава 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каждый в своем секторе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 теме:</w:t>
            </w:r>
          </w:p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«Правил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организации и размещения, быта, точек участников Слета в 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полевых условиях».</w:t>
            </w:r>
          </w:p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А – сектор аги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бригад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ы.</w:t>
            </w:r>
          </w:p>
        </w:tc>
      </w:tr>
      <w:tr w:rsidR="00F91DFF" w:rsidRPr="00507E76" w:rsidTr="00F91DFF">
        <w:trPr>
          <w:trHeight w:val="240"/>
        </w:trPr>
        <w:tc>
          <w:tcPr>
            <w:tcW w:w="1496" w:type="dxa"/>
            <w:vMerge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01" w:type="dxa"/>
            <w:vMerge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Б – сектор пресс центр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а.</w:t>
            </w:r>
          </w:p>
        </w:tc>
      </w:tr>
      <w:tr w:rsidR="00F91DFF" w:rsidRPr="00507E76" w:rsidTr="00F91DFF">
        <w:trPr>
          <w:trHeight w:val="240"/>
        </w:trPr>
        <w:tc>
          <w:tcPr>
            <w:tcW w:w="1496" w:type="dxa"/>
            <w:vMerge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01" w:type="dxa"/>
            <w:vMerge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– сектор ВПК, ГПК «Правила организации и размещения, быта участников Слета в полевых условиях». </w:t>
            </w:r>
          </w:p>
        </w:tc>
      </w:tr>
      <w:tr w:rsidR="00F91DFF" w:rsidRPr="00507E76" w:rsidTr="00F91DFF">
        <w:trPr>
          <w:trHeight w:val="315"/>
        </w:trPr>
        <w:tc>
          <w:tcPr>
            <w:tcW w:w="1496" w:type="dxa"/>
            <w:vMerge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01" w:type="dxa"/>
            <w:vMerge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 – гости 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Правила пребывани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я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гостей на слете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».</w:t>
            </w:r>
          </w:p>
        </w:tc>
      </w:tr>
      <w:tr w:rsidR="00F91DFF" w:rsidRPr="00507E76" w:rsidTr="00F91DFF">
        <w:trPr>
          <w:trHeight w:val="243"/>
        </w:trPr>
        <w:tc>
          <w:tcPr>
            <w:tcW w:w="1496" w:type="dxa"/>
            <w:vMerge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01" w:type="dxa"/>
            <w:vMerge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 - сектор туристы, активы, сообщества, ГПК (социальные) «Правила организации и размещения, быта участников 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лета в полевых условиях»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91DFF" w:rsidRPr="00507E76" w:rsidTr="00F91DFF">
        <w:trPr>
          <w:trHeight w:val="270"/>
        </w:trPr>
        <w:tc>
          <w:tcPr>
            <w:tcW w:w="1496" w:type="dxa"/>
            <w:vMerge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01" w:type="dxa"/>
            <w:vMerge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 – сектор радиоузел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91DFF" w:rsidRPr="00507E76" w:rsidTr="00F91DFF">
        <w:trPr>
          <w:trHeight w:val="285"/>
        </w:trPr>
        <w:tc>
          <w:tcPr>
            <w:tcW w:w="1496" w:type="dxa"/>
            <w:vMerge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01" w:type="dxa"/>
            <w:vMerge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 – игровой сектор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91DFF" w:rsidRPr="00507E76" w:rsidTr="00F91DFF">
        <w:trPr>
          <w:trHeight w:val="285"/>
        </w:trPr>
        <w:tc>
          <w:tcPr>
            <w:tcW w:w="1496" w:type="dxa"/>
            <w:vMerge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01" w:type="dxa"/>
            <w:vMerge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Ш – штабные, руководители, взрослые  участники слета без команд.</w:t>
            </w:r>
          </w:p>
        </w:tc>
      </w:tr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14/30 –16/30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Старт игры «Лесной гарнизон».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Разбивка бивуака, оборудование лагеря, зоны тылового обеспечения согласно точному предписанию и в соответствии с требованиями проживания в лесном массиве.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507E7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1" name="Рисунок 14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Здесь предусмотрен прием пищи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обед 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сухой п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ек</w:t>
            </w:r>
            <w:r w:rsid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приготовление ужина. </w:t>
            </w:r>
          </w:p>
        </w:tc>
      </w:tr>
      <w:tr w:rsidR="00F91DFF" w:rsidRPr="00507E76" w:rsidTr="00F91DFF">
        <w:tc>
          <w:tcPr>
            <w:tcW w:w="15134" w:type="dxa"/>
            <w:gridSpan w:val="3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ВО  ВРЕМЯ  ИГРЫ  РАБОТАЕТ  РАДИОУЗЕЛ</w:t>
            </w:r>
          </w:p>
        </w:tc>
      </w:tr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14/30 –16/30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Регистрация команд-участниц, прибывших на Слет. </w:t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Работа представителей команд с документацией, взносами, командировочными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14/30 –16/30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Организация зоны тылового обеспечения Слета.</w:t>
            </w:r>
          </w:p>
        </w:tc>
        <w:tc>
          <w:tcPr>
            <w:tcW w:w="6237" w:type="dxa"/>
          </w:tcPr>
          <w:p w:rsidR="00F91DFF" w:rsidRPr="00507E76" w:rsidRDefault="002155E1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="00F91DFF"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становка и подготовка образовательных площадок,</w:t>
            </w:r>
          </w:p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подготовка костра к церемонии, заготовка дров.</w:t>
            </w:r>
          </w:p>
        </w:tc>
      </w:tr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14/30 –16/30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Мастерская по организации сводного отряда пресс центра.</w:t>
            </w:r>
          </w:p>
        </w:tc>
        <w:tc>
          <w:tcPr>
            <w:tcW w:w="6237" w:type="dxa"/>
          </w:tcPr>
          <w:p w:rsidR="002155E1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Работает по отдельному плану.</w:t>
            </w:r>
          </w:p>
        </w:tc>
      </w:tr>
      <w:tr w:rsidR="00F91DFF" w:rsidRPr="00507E76" w:rsidTr="00F91DFF">
        <w:trPr>
          <w:trHeight w:val="420"/>
        </w:trPr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14/30 –16/30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Мастерская по организации агитбригады.</w:t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Работает по отдельному плану.</w:t>
            </w:r>
          </w:p>
        </w:tc>
      </w:tr>
      <w:tr w:rsidR="00F91DFF" w:rsidRPr="00507E76" w:rsidTr="00F91DFF">
        <w:trPr>
          <w:trHeight w:val="420"/>
        </w:trPr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14/30 –16/30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Мастерская по организации охраны правопорядка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Работает по отдельному плану.</w:t>
            </w:r>
          </w:p>
        </w:tc>
      </w:tr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16/30 –16/55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Завершение игры. Доклад о выполнении командной задачи начальнику штаба 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лета. </w:t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tabs>
                <w:tab w:val="left" w:pos="3315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Проверка выполнения задачи. Устранение недостатков. </w:t>
            </w:r>
          </w:p>
        </w:tc>
      </w:tr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16/55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155E1" w:rsidRPr="00215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17/00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Общее п</w:t>
            </w:r>
            <w:bookmarkStart w:id="0" w:name="_GoBack"/>
            <w:bookmarkEnd w:id="0"/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остроение команд-участниц на плацу. </w:t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2" name="Рисунок 29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Руководители команд обеспечивают 100% явку 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личного состава. В лагере могут остаться только по 1 дежурному для организации ужина. 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507E7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3" name="Рисунок 30" descr="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Все команды участницы отправляются на пла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ц с 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туристическими стульями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</w:p>
        </w:tc>
      </w:tr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17/00 –17/45</w:t>
            </w:r>
          </w:p>
        </w:tc>
        <w:tc>
          <w:tcPr>
            <w:tcW w:w="7401" w:type="dxa"/>
          </w:tcPr>
          <w:p w:rsidR="00F91DFF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Встреча с интересными людьми. 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«Час истории» ВОВ в Заполярье. </w:t>
            </w:r>
          </w:p>
          <w:p w:rsidR="00400036" w:rsidRPr="00400036" w:rsidRDefault="00400036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От  учителя</w:t>
            </w:r>
            <w:r w:rsidRPr="00FF4C9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истории школы №151, Царь город, Романов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ой </w:t>
            </w:r>
            <w:r w:rsidRPr="00FF4C9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леной Валерьевной.</w:t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Все команды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участницы отправляются на плац 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 туристическими стульями.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</w:p>
        </w:tc>
      </w:tr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17/45 –18/15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Ужин.</w:t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Каждая команда принимает горячий ужин, который подогревает дежурный.</w:t>
            </w:r>
          </w:p>
        </w:tc>
      </w:tr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18/15 –19/30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Торжественное открытие Слета, торжественная церемония зажжения костра дружбы и памяти. Агитбригада. </w:t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5" name="Рисунок 66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Все команды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участницы отправляются на плац 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для 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построени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я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флагами, после официальной части сразу пройдет церемония костра и продолжит работу агитбригада (стульчики)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19/30 –20/00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Пауза чай.</w:t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6" name="Рисунок 69" descr="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Горячий чай. Переодевание в теплую одежду. </w:t>
            </w:r>
          </w:p>
        </w:tc>
      </w:tr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20/00 –21/15</w:t>
            </w:r>
          </w:p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Встреча с автором фильма «Северная кавалерия» Владимиром Кузнецовым и показ фильма об 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ленно-транспортных батальонах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рассказ о подвиге оленеводов. </w:t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Фильм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«</w:t>
            </w:r>
            <w:r w:rsidRPr="00507E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Северная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507E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кавалерия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 рассказывает о подвиге в годы Великой Отечественной войны представителей коренных малочисленных народов Севера, которые внесли свой вклад в борьбу с фашизмом. В суровых условиях Заполярь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я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они проявили </w:t>
            </w:r>
            <w:r w:rsidR="002155E1" w:rsidRP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храбрость и мужество 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боевых действия в составе уникальных оленно-транспортных батальонов, которые были сформированы в ноябре 1941 года для 14-ой армии Карельского фронта, действовавшей на Мурманском направлении. Данный </w:t>
            </w:r>
            <w:r w:rsidRPr="00507E7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фильм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единственный в своем роде, который рассказывает об этих уникальных военных подразделениях в годы Великой Отечественной войны.</w:t>
            </w:r>
          </w:p>
          <w:p w:rsidR="00F91DFF" w:rsidRPr="00507E76" w:rsidRDefault="002155E1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</w:t>
            </w:r>
            <w:r w:rsidR="00F91DFF"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2016 год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="00F91DFF"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="00F91DFF"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артину наградили дипломом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«З</w:t>
            </w:r>
            <w:r w:rsidR="00F91DFF"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а открытие неизвестных страниц в Великой Отечественной войне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="00F91DFF"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Международный кинофору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="00F91DFF"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F91DFF"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Золотой Витязь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="00F91DFF"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91DFF" w:rsidRPr="00507E76" w:rsidTr="00F91DFF">
        <w:trPr>
          <w:trHeight w:val="604"/>
        </w:trPr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21/15</w:t>
            </w:r>
            <w:r w:rsidR="002155E1" w:rsidRPr="00215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21/30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Торжественное подведение итогов 1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-ого 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дня.</w:t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Все команды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участницы отправляются на плац с туристическими 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стульями 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+ пледы.</w:t>
            </w:r>
          </w:p>
        </w:tc>
      </w:tr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22/00 –23/00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Подведение итого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дня внутри команд участниц.</w:t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Подведение итого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дня внутри команд участниц.</w:t>
            </w:r>
          </w:p>
        </w:tc>
      </w:tr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23/00 –00/00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Совещание командиров и руководителей отряда. Отбой.</w:t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Все руководители  приходят со стульчиками и пледами. </w:t>
            </w:r>
          </w:p>
        </w:tc>
      </w:tr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23/00</w:t>
            </w:r>
            <w:r w:rsidR="00215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155E1" w:rsidRPr="002155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00/00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+18 Вечерний досуг.</w:t>
            </w:r>
          </w:p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Для тех, кому 18+ будет выделена зона для дальнейшего общения вне жилой зоны.</w:t>
            </w:r>
          </w:p>
        </w:tc>
      </w:tr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00/00 –01/00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Работа инструкторов. Работа штаба.</w:t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91DFF" w:rsidRPr="00507E76" w:rsidTr="00F91DFF">
        <w:tc>
          <w:tcPr>
            <w:tcW w:w="1496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23/00 –07/00</w:t>
            </w:r>
          </w:p>
        </w:tc>
        <w:tc>
          <w:tcPr>
            <w:tcW w:w="7401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7E7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Ночной дозор. Обеспечение дежурства лагеря Слета.</w:t>
            </w:r>
          </w:p>
        </w:tc>
        <w:tc>
          <w:tcPr>
            <w:tcW w:w="6237" w:type="dxa"/>
          </w:tcPr>
          <w:p w:rsidR="00F91DFF" w:rsidRPr="00507E76" w:rsidRDefault="00F91DFF" w:rsidP="0040003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F91DFF" w:rsidRPr="00507E76" w:rsidRDefault="00F91DFF" w:rsidP="0040003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F91DFF" w:rsidRPr="00507E76" w:rsidRDefault="00F91DFF" w:rsidP="0040003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91DFF" w:rsidRPr="00507E76" w:rsidSect="00356E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1DFF"/>
    <w:rsid w:val="002155E1"/>
    <w:rsid w:val="00400036"/>
    <w:rsid w:val="00507E76"/>
    <w:rsid w:val="006A418A"/>
    <w:rsid w:val="00BD1C1D"/>
    <w:rsid w:val="00CA1A84"/>
    <w:rsid w:val="00CD7B5F"/>
    <w:rsid w:val="00F9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FF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D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1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DF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dcterms:created xsi:type="dcterms:W3CDTF">2019-10-15T03:55:00Z</dcterms:created>
  <dcterms:modified xsi:type="dcterms:W3CDTF">2019-10-15T04:07:00Z</dcterms:modified>
</cp:coreProperties>
</file>