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Times New Roman" w:hAnsi="Times New Roman" w:cs="Times New Roman"/>
          <w:color w:val="000000"/>
          <w:sz w:val="24"/>
          <w:szCs w:val="24"/>
        </w:rPr>
      </w:pPr>
      <w:r>
        <w:rPr>
          <w:rFonts w:cs="Times New Roman" w:ascii="Times New Roman" w:hAnsi="Times New Roman"/>
          <w:b/>
          <w:color w:val="000000"/>
          <w:sz w:val="24"/>
          <w:szCs w:val="24"/>
        </w:rPr>
        <w:t xml:space="preserve">ДОКЛАД </w:t>
      </w:r>
    </w:p>
    <w:p>
      <w:pPr>
        <w:pStyle w:val="LO-normal"/>
        <w:jc w:val="center"/>
        <w:rPr>
          <w:rFonts w:ascii="Times New Roman" w:hAnsi="Times New Roman" w:cs="Times New Roman"/>
          <w:color w:val="000000"/>
          <w:sz w:val="24"/>
          <w:szCs w:val="24"/>
        </w:rPr>
      </w:pPr>
      <w:r>
        <w:rPr>
          <w:rFonts w:cs="Times New Roman" w:ascii="Times New Roman" w:hAnsi="Times New Roman"/>
          <w:b/>
          <w:color w:val="000000"/>
          <w:sz w:val="24"/>
          <w:szCs w:val="24"/>
        </w:rPr>
        <w:t xml:space="preserve">за январь - </w:t>
      </w:r>
      <w:r>
        <w:rPr>
          <w:rFonts w:cs="Times New Roman" w:ascii="Times New Roman" w:hAnsi="Times New Roman"/>
          <w:b/>
          <w:color w:val="000000"/>
          <w:sz w:val="24"/>
          <w:szCs w:val="24"/>
        </w:rPr>
        <w:t>декабрь</w:t>
      </w:r>
      <w:r>
        <w:rPr>
          <w:rFonts w:cs="Times New Roman" w:ascii="Times New Roman" w:hAnsi="Times New Roman"/>
          <w:b/>
          <w:color w:val="000000"/>
          <w:sz w:val="24"/>
          <w:szCs w:val="24"/>
        </w:rPr>
        <w:t xml:space="preserve"> 2024 года </w:t>
      </w:r>
    </w:p>
    <w:p>
      <w:pPr>
        <w:pStyle w:val="LO-normal"/>
        <w:jc w:val="center"/>
        <w:rPr>
          <w:rFonts w:ascii="Times New Roman" w:hAnsi="Times New Roman" w:cs="Times New Roman"/>
          <w:color w:val="000000"/>
          <w:sz w:val="24"/>
          <w:szCs w:val="24"/>
        </w:rPr>
      </w:pPr>
      <w:r>
        <w:rPr>
          <w:rFonts w:cs="Times New Roman" w:ascii="Times New Roman" w:hAnsi="Times New Roman"/>
          <w:b/>
          <w:color w:val="000000"/>
          <w:sz w:val="24"/>
          <w:szCs w:val="24"/>
        </w:rPr>
        <w:t>о фактически достигнутых значениях (уровнях)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w:t>
      </w:r>
    </w:p>
    <w:p>
      <w:pPr>
        <w:pStyle w:val="LO-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O-normal"/>
        <w:rPr>
          <w:rFonts w:ascii="Times New Roman" w:hAnsi="Times New Roman" w:cs="Times New Roman"/>
          <w:color w:val="000000"/>
          <w:sz w:val="24"/>
          <w:szCs w:val="24"/>
        </w:rPr>
      </w:pPr>
      <w:r>
        <w:rPr>
          <w:rFonts w:cs="Times New Roman" w:ascii="Times New Roman" w:hAnsi="Times New Roman"/>
          <w:i/>
          <w:color w:val="000000"/>
          <w:sz w:val="24"/>
          <w:szCs w:val="24"/>
        </w:rPr>
        <w:t xml:space="preserve">1. Информация о достижении установленных значений (уровней) показателей на отчетный год (табличная часть). </w:t>
      </w:r>
    </w:p>
    <w:tbl>
      <w:tblPr>
        <w:tblStyle w:val="TableNormal"/>
        <w:tblW w:w="15614"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958"/>
        <w:gridCol w:w="3546"/>
        <w:gridCol w:w="1352"/>
        <w:gridCol w:w="1955"/>
        <w:gridCol w:w="1950"/>
        <w:gridCol w:w="1958"/>
        <w:gridCol w:w="1961"/>
        <w:gridCol w:w="1932"/>
      </w:tblGrid>
      <w:tr>
        <w:trPr/>
        <w:tc>
          <w:tcPr>
            <w:tcW w:w="958"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Номер строки</w:t>
            </w:r>
          </w:p>
        </w:tc>
        <w:tc>
          <w:tcPr>
            <w:tcW w:w="3546"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Наименование показателя</w:t>
            </w:r>
          </w:p>
        </w:tc>
        <w:tc>
          <w:tcPr>
            <w:tcW w:w="1352"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Единица измерения</w:t>
            </w:r>
          </w:p>
        </w:tc>
        <w:tc>
          <w:tcPr>
            <w:tcW w:w="1955"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Установленные значения (уровни) показателя на текущий год</w:t>
            </w:r>
            <w:bookmarkStart w:id="0" w:name="_GoBack"/>
            <w:bookmarkEnd w:id="0"/>
          </w:p>
        </w:tc>
        <w:tc>
          <w:tcPr>
            <w:tcW w:w="1950"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Фактические значения (уровни) показателя за отчетный период</w:t>
            </w:r>
          </w:p>
        </w:tc>
        <w:tc>
          <w:tcPr>
            <w:tcW w:w="1958"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Фактические значения показателя за отчетный период в процентах к установленным значениям (уровням) показателя на текущий год</w:t>
            </w:r>
          </w:p>
        </w:tc>
        <w:tc>
          <w:tcPr>
            <w:tcW w:w="1961"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Оценка достижения показателя («показатель по итогам года будет достигнут» либо «риск недостижения показателя по итогам года»)</w:t>
            </w:r>
          </w:p>
        </w:tc>
        <w:tc>
          <w:tcPr>
            <w:tcW w:w="1932"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Примечание</w:t>
            </w:r>
          </w:p>
        </w:tc>
      </w:tr>
      <w:tr>
        <w:trPr/>
        <w:tc>
          <w:tcPr>
            <w:tcW w:w="958"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w:t>
            </w:r>
          </w:p>
        </w:tc>
        <w:tc>
          <w:tcPr>
            <w:tcW w:w="3546"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«Доля граждан, занимающихся добровольческой (волонтерской) деятельностью»</w:t>
            </w:r>
          </w:p>
        </w:tc>
        <w:tc>
          <w:tcPr>
            <w:tcW w:w="1352"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процент</w:t>
            </w:r>
          </w:p>
        </w:tc>
        <w:tc>
          <w:tcPr>
            <w:tcW w:w="1955"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rPr>
            </w:pPr>
            <w:r>
              <w:rPr>
                <w:rFonts w:eastAsia="Liberation Serif" w:cs="Times New Roman" w:ascii="Times New Roman" w:hAnsi="Times New Roman"/>
                <w:color w:val="000000"/>
                <w:kern w:val="0"/>
                <w:sz w:val="24"/>
                <w:szCs w:val="24"/>
                <w:lang w:val="ru-RU" w:eastAsia="zh-CN" w:bidi="hi-IN"/>
              </w:rPr>
              <w:t>7,9</w:t>
            </w:r>
          </w:p>
        </w:tc>
        <w:tc>
          <w:tcPr>
            <w:tcW w:w="1950"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sz w:val="24"/>
                <w:szCs w:val="24"/>
              </w:rPr>
            </w:pPr>
            <w:r>
              <w:rPr>
                <w:rFonts w:eastAsia="Liberation Serif" w:cs="Times New Roman" w:ascii="Times New Roman" w:hAnsi="Times New Roman"/>
                <w:kern w:val="0"/>
                <w:sz w:val="24"/>
                <w:szCs w:val="24"/>
                <w:lang w:val="ru-RU" w:eastAsia="zh-CN" w:bidi="hi-IN"/>
              </w:rPr>
              <w:t>8,0</w:t>
            </w:r>
          </w:p>
        </w:tc>
        <w:tc>
          <w:tcPr>
            <w:tcW w:w="1958"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rPr>
            </w:pPr>
            <w:r>
              <w:rPr>
                <w:rFonts w:eastAsia="Liberation Serif" w:cs="Times New Roman" w:ascii="Times New Roman" w:hAnsi="Times New Roman"/>
                <w:color w:val="000000"/>
                <w:kern w:val="0"/>
                <w:sz w:val="24"/>
                <w:szCs w:val="24"/>
                <w:lang w:val="ru-RU" w:eastAsia="zh-CN" w:bidi="hi-IN"/>
              </w:rPr>
              <w:t>101</w:t>
            </w:r>
            <w:r>
              <w:rPr>
                <w:rFonts w:eastAsia="Liberation Serif" w:cs="Times New Roman" w:ascii="Times New Roman" w:hAnsi="Times New Roman"/>
                <w:color w:val="000000"/>
                <w:kern w:val="0"/>
                <w:sz w:val="24"/>
                <w:szCs w:val="24"/>
                <w:lang w:val="ru-RU" w:eastAsia="zh-CN" w:bidi="hi-IN"/>
              </w:rPr>
              <w:t>%</w:t>
            </w:r>
          </w:p>
        </w:tc>
        <w:tc>
          <w:tcPr>
            <w:tcW w:w="1961"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 xml:space="preserve">показатель </w:t>
            </w:r>
            <w:r>
              <w:rPr>
                <w:rFonts w:eastAsia="Liberation Serif" w:cs="Times New Roman" w:ascii="Times New Roman" w:hAnsi="Times New Roman"/>
                <w:color w:val="000000"/>
                <w:kern w:val="0"/>
                <w:sz w:val="24"/>
                <w:szCs w:val="24"/>
                <w:lang w:val="ru-RU" w:eastAsia="zh-CN" w:bidi="hi-IN"/>
              </w:rPr>
              <w:t>достигнут</w:t>
            </w:r>
          </w:p>
        </w:tc>
        <w:tc>
          <w:tcPr>
            <w:tcW w:w="1932" w:type="dxa"/>
            <w:tcBorders>
              <w:top w:val="single" w:sz="4" w:space="0" w:color="000000"/>
              <w:left w:val="single" w:sz="4" w:space="0" w:color="000000"/>
              <w:bottom w:val="single" w:sz="4" w:space="0" w:color="000000"/>
              <w:right w:val="single" w:sz="4"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w:t>
            </w:r>
          </w:p>
        </w:tc>
      </w:tr>
    </w:tbl>
    <w:p>
      <w:pPr>
        <w:pStyle w:val="LO-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O-normal"/>
        <w:rPr>
          <w:rFonts w:ascii="Times New Roman" w:hAnsi="Times New Roman" w:cs="Times New Roman"/>
          <w:color w:val="000000"/>
          <w:sz w:val="24"/>
          <w:szCs w:val="24"/>
        </w:rPr>
      </w:pPr>
      <w:r>
        <w:rPr>
          <w:rFonts w:cs="Times New Roman" w:ascii="Times New Roman" w:hAnsi="Times New Roman"/>
          <w:i/>
          <w:color w:val="000000"/>
          <w:sz w:val="24"/>
          <w:szCs w:val="24"/>
        </w:rPr>
        <w:t xml:space="preserve">2. Оценка уровня достижения установленных значений (уровней) показателей (текстовая часть). </w:t>
      </w:r>
    </w:p>
    <w:p>
      <w:pPr>
        <w:pStyle w:val="LO-normal"/>
        <w:jc w:val="both"/>
        <w:rPr>
          <w:rFonts w:ascii="Times New Roman" w:hAnsi="Times New Roman" w:cs="Times New Roman"/>
          <w:color w:val="000000"/>
          <w:sz w:val="24"/>
          <w:szCs w:val="24"/>
        </w:rPr>
      </w:pPr>
      <w:r>
        <w:rPr>
          <w:rFonts w:cs="Times New Roman" w:ascii="Times New Roman" w:hAnsi="Times New Roman"/>
          <w:i/>
          <w:color w:val="000000"/>
          <w:sz w:val="24"/>
          <w:szCs w:val="24"/>
        </w:rPr>
        <w:t>Краткий анализ с обоснованием достигнутого значения (уровня) показателей, прогнозная оценка достижения установленных значений (уровней) показателей в отчетном году (в случае обеспечения достижения установленных значений (уровней) показателя – краткая характеристика мер, реализованных и планируемых к реализации; риски недостижения, при наличии таких рисков – меры их нейтрализации, в случае недостижения установленных значений (уровней) показателей – пояснение причин недостижения и краткая характеристика необходимых и планируемых мер, реализация которых позволит достигнуть установленные значения (уровни) показателей), объемы и источники финансирования мероприятий, обеспечивающих достижение показателей, на отчетный год и на период до 2030 года.</w:t>
      </w:r>
    </w:p>
    <w:p>
      <w:pPr>
        <w:pStyle w:val="LO-normal"/>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волонтерской деятельности на территории Туринского городского округа осуществляется с 2016 года. С целью координации вопросов развития добровольческой деятельности на основании постановления главы Туринского городского округа от 10 марта 2016 года № 125 создан Координационный совет. Вовлечение населения в добровольческую деятельность осуществляется в соответствии с подпрограммой «Патриотическое  воспитание граждан Туринского городского округа» муниципальной программы «Развитие культуры, физической культуры, спорта и молодежной политики в Туринском городском округе до 2027 года», утвержденной постановлением Администрации Туринского городского округа № 1345-ПА от 12 ноября 2019 года. На территории округа располагается филиал Свердловской областной общественной организации «Ресурсный центр добровольчества «Сила Урала», местное отделение Всероссийской общественной организации «Молодая гвардия Единой России». Всего на территории действуют 17 волонтерских отрядов образовательных учреждений, 2 отряда серебряных волонтеров и 1 отряд работающей молодежи, 3 смешанных отряда (</w:t>
      </w:r>
      <w:r>
        <w:rPr>
          <w:rFonts w:cs="Times New Roman" w:ascii="Times New Roman" w:hAnsi="Times New Roman"/>
          <w:sz w:val="24"/>
          <w:szCs w:val="24"/>
        </w:rPr>
        <w:t>351</w:t>
      </w:r>
      <w:r>
        <w:rPr>
          <w:rFonts w:cs="Times New Roman" w:ascii="Times New Roman" w:hAnsi="Times New Roman"/>
          <w:color w:val="000000"/>
          <w:sz w:val="24"/>
          <w:szCs w:val="24"/>
        </w:rPr>
        <w:t xml:space="preserve"> человек). Ежегодно с участием добровольцев на территории муниципального образования проводятся акции и мероприятия («Елка желаний», «Весенняя неделя добра», акция взаимопомощи «Мы вместе», «10000 добрых дел», «Онлайн-голосование среди жителей по формированию комфортной городской среды», «Библионочь», «Георгиевская ленточка», «Бессмертный полк», «Свеча памяти», «Всероссийская перепись населения», «Красная лента», «Должен знать», акции «Триколор» в памятные даты, «День трезвости», крупные спортивные мероприятия «День физкультурника», «Кросс нации», Первенство по армрестлингу», «Туристический слет», «</w:t>
      </w:r>
      <w:r>
        <w:rPr>
          <w:rFonts w:cs="Times New Roman" w:ascii="Times New Roman" w:hAnsi="Times New Roman"/>
          <w:color w:val="000000"/>
          <w:sz w:val="24"/>
          <w:szCs w:val="24"/>
        </w:rPr>
        <w:t>Новый год в каждый дом», «Новогодний районный турнир по армрестлингу», «Зарничка»</w:t>
      </w:r>
      <w:r>
        <w:rPr>
          <w:rFonts w:cs="Times New Roman" w:ascii="Times New Roman" w:hAnsi="Times New Roman"/>
          <w:color w:val="000000"/>
          <w:sz w:val="24"/>
          <w:szCs w:val="24"/>
        </w:rPr>
        <w:t xml:space="preserve"> и многое другое). В 2024 год</w:t>
      </w:r>
      <w:r>
        <w:rPr>
          <w:rFonts w:cs="Times New Roman" w:ascii="Times New Roman" w:hAnsi="Times New Roman"/>
          <w:color w:val="000000"/>
          <w:sz w:val="24"/>
          <w:szCs w:val="24"/>
        </w:rPr>
        <w:t>у</w:t>
      </w:r>
      <w:r>
        <w:rPr>
          <w:rFonts w:cs="Times New Roman" w:ascii="Times New Roman" w:hAnsi="Times New Roman"/>
          <w:color w:val="000000"/>
          <w:sz w:val="24"/>
          <w:szCs w:val="24"/>
        </w:rPr>
        <w:t xml:space="preserve"> население Туринского городского округа активно приняло участие в сборе благотворительной помощи для мобилизованных земляков, </w:t>
      </w:r>
      <w:r>
        <w:rPr>
          <w:rFonts w:cs="Times New Roman" w:ascii="Times New Roman" w:hAnsi="Times New Roman"/>
          <w:color w:val="000000"/>
          <w:sz w:val="24"/>
          <w:szCs w:val="24"/>
        </w:rPr>
        <w:t xml:space="preserve">состоялись </w:t>
      </w:r>
      <w:r>
        <w:rPr>
          <w:rFonts w:cs="Times New Roman" w:ascii="Times New Roman" w:hAnsi="Times New Roman"/>
          <w:color w:val="000000"/>
          <w:sz w:val="24"/>
          <w:szCs w:val="24"/>
        </w:rPr>
        <w:t>слеты волонтерских объединений, голосование в рамках реализации проекта «Формирование комфортной городской среды».</w:t>
      </w:r>
    </w:p>
    <w:p>
      <w:pPr>
        <w:pStyle w:val="LO-normal"/>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 целью популяризации добровольчества, выявления и поощрения лучших волонтеров и волонтерских отрядов на муниципальном уровне проводятся мероприятия «Калейдоскоп добра», «Слет волонтерских отрядов», конкурсы мероприятий по формированию здорового образа жизни и профилактике социально-значимых заболеваний, конкурсы видеороликов и т.д. Также с целью профилактики распространения ВИЧ-инфекции в молодежной среде прошли обучение и работают волонтеры проекта «Dance4life». </w:t>
      </w:r>
    </w:p>
    <w:p>
      <w:pPr>
        <w:pStyle w:val="LO-normal"/>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За истекший период 2024 года доля граждан, занимающихся добровольческой (волонтерской) деятельностью, составляет </w:t>
      </w:r>
      <w:r>
        <w:rPr>
          <w:rFonts w:cs="Times New Roman" w:ascii="Times New Roman" w:hAnsi="Times New Roman"/>
          <w:color w:val="000000"/>
          <w:sz w:val="24"/>
          <w:szCs w:val="24"/>
        </w:rPr>
        <w:t>8</w:t>
      </w:r>
      <w:r>
        <w:rPr>
          <w:rFonts w:cs="Times New Roman" w:ascii="Times New Roman" w:hAnsi="Times New Roman"/>
          <w:color w:val="FF3838"/>
          <w:sz w:val="24"/>
          <w:szCs w:val="24"/>
        </w:rPr>
        <w:t xml:space="preserve"> </w:t>
      </w:r>
      <w:r>
        <w:rPr>
          <w:rFonts w:cs="Times New Roman" w:ascii="Times New Roman" w:hAnsi="Times New Roman"/>
          <w:color w:val="000000"/>
          <w:sz w:val="24"/>
          <w:szCs w:val="24"/>
        </w:rPr>
        <w:t>процент</w:t>
      </w:r>
      <w:r>
        <w:rPr>
          <w:rFonts w:cs="Times New Roman" w:ascii="Times New Roman" w:hAnsi="Times New Roman"/>
          <w:color w:val="000000"/>
          <w:sz w:val="24"/>
          <w:szCs w:val="24"/>
        </w:rPr>
        <w:t>ов</w:t>
      </w:r>
      <w:r>
        <w:rPr>
          <w:rFonts w:cs="Times New Roman" w:ascii="Times New Roman" w:hAnsi="Times New Roman"/>
          <w:color w:val="000000"/>
          <w:sz w:val="24"/>
          <w:szCs w:val="24"/>
        </w:rPr>
        <w:t xml:space="preserve"> от общей численности населения Туринского городского округа в возрасте старше 7 лет (1</w:t>
      </w:r>
      <w:r>
        <w:rPr>
          <w:rFonts w:cs="Times New Roman" w:ascii="Times New Roman" w:hAnsi="Times New Roman"/>
          <w:color w:val="000000"/>
          <w:sz w:val="24"/>
          <w:szCs w:val="24"/>
        </w:rPr>
        <w:t>750</w:t>
      </w:r>
      <w:r>
        <w:rPr>
          <w:rFonts w:cs="Times New Roman" w:ascii="Times New Roman" w:hAnsi="Times New Roman"/>
          <w:color w:val="000000"/>
          <w:sz w:val="24"/>
          <w:szCs w:val="24"/>
        </w:rPr>
        <w:t xml:space="preserve"> человек). </w:t>
      </w:r>
      <w:r>
        <w:rPr>
          <w:rFonts w:cs="Times New Roman" w:ascii="Times New Roman" w:hAnsi="Times New Roman"/>
          <w:color w:val="FF3838"/>
          <w:sz w:val="24"/>
          <w:szCs w:val="24"/>
        </w:rPr>
        <w:t xml:space="preserve"> </w:t>
      </w:r>
      <w:r>
        <w:rPr>
          <w:rFonts w:cs="Times New Roman" w:ascii="Times New Roman" w:hAnsi="Times New Roman"/>
          <w:color w:val="000000"/>
          <w:sz w:val="24"/>
          <w:szCs w:val="24"/>
        </w:rPr>
        <w:t>П</w:t>
      </w:r>
      <w:r>
        <w:rPr>
          <w:rFonts w:cs="Times New Roman" w:ascii="Times New Roman" w:hAnsi="Times New Roman"/>
          <w:color w:val="000000"/>
          <w:sz w:val="24"/>
          <w:szCs w:val="24"/>
        </w:rPr>
        <w:t xml:space="preserve">лановое значение показателя «Доля граждан, занимающихся добровольческой (волонтерской) деятельностью» </w:t>
      </w:r>
      <w:r>
        <w:rPr>
          <w:rFonts w:cs="Times New Roman" w:ascii="Times New Roman" w:hAnsi="Times New Roman"/>
          <w:color w:val="000000"/>
          <w:sz w:val="24"/>
          <w:szCs w:val="24"/>
        </w:rPr>
        <w:t xml:space="preserve">(7,9%) в </w:t>
      </w:r>
      <w:r>
        <w:rPr>
          <w:rFonts w:cs="Times New Roman" w:ascii="Times New Roman" w:hAnsi="Times New Roman"/>
          <w:color w:val="000000"/>
          <w:sz w:val="24"/>
          <w:szCs w:val="24"/>
        </w:rPr>
        <w:t>2024 год</w:t>
      </w:r>
      <w:r>
        <w:rPr>
          <w:rFonts w:cs="Times New Roman" w:ascii="Times New Roman" w:hAnsi="Times New Roman"/>
          <w:color w:val="000000"/>
          <w:sz w:val="24"/>
          <w:szCs w:val="24"/>
        </w:rPr>
        <w:t>у достигнуто</w:t>
      </w:r>
      <w:r>
        <w:rPr>
          <w:rFonts w:cs="Times New Roman" w:ascii="Times New Roman" w:hAnsi="Times New Roman"/>
          <w:color w:val="000000"/>
          <w:sz w:val="24"/>
          <w:szCs w:val="24"/>
        </w:rPr>
        <w:t>.</w:t>
      </w:r>
    </w:p>
    <w:p>
      <w:pPr>
        <w:pStyle w:val="LO-normal"/>
        <w:rPr>
          <w:rFonts w:ascii="Times New Roman" w:hAnsi="Times New Roman" w:cs="Times New Roman"/>
          <w:color w:val="000000"/>
          <w:sz w:val="24"/>
          <w:szCs w:val="24"/>
        </w:rPr>
      </w:pPr>
      <w:r>
        <w:rPr>
          <w:rFonts w:cs="Times New Roman" w:ascii="Times New Roman" w:hAnsi="Times New Roman"/>
          <w:i/>
          <w:color w:val="000000"/>
          <w:sz w:val="24"/>
          <w:szCs w:val="24"/>
        </w:rPr>
        <w:t>3. Презентационные материалы (диаграммы, схемы, таблицы).</w:t>
      </w:r>
    </w:p>
    <w:p>
      <w:pPr>
        <w:pStyle w:val="LO-normal"/>
        <w:jc w:val="center"/>
        <w:rPr>
          <w:rFonts w:ascii="Times New Roman" w:hAnsi="Times New Roman" w:cs="Times New Roman"/>
          <w:color w:val="000000"/>
          <w:sz w:val="24"/>
          <w:szCs w:val="24"/>
        </w:rPr>
      </w:pPr>
      <w:r>
        <w:rPr>
          <w:rFonts w:cs="Times New Roman" w:ascii="Times New Roman" w:hAnsi="Times New Roman"/>
          <w:color w:val="000000"/>
          <w:sz w:val="24"/>
          <w:szCs w:val="24"/>
        </w:rPr>
        <w:t>«Количество волонтерских организаций»</w:t>
      </w:r>
    </w:p>
    <w:tbl>
      <w:tblPr>
        <w:tblStyle w:val="TableNormal"/>
        <w:tblW w:w="15466" w:type="dxa"/>
        <w:jc w:val="left"/>
        <w:tblInd w:w="-15" w:type="dxa"/>
        <w:tblLayout w:type="fixed"/>
        <w:tblCellMar>
          <w:top w:w="0" w:type="dxa"/>
          <w:left w:w="108" w:type="dxa"/>
          <w:bottom w:w="0" w:type="dxa"/>
          <w:right w:w="108" w:type="dxa"/>
        </w:tblCellMar>
        <w:tblLook w:noVBand="0" w:val="0000" w:noHBand="0" w:lastColumn="0" w:firstColumn="0" w:lastRow="0" w:firstRow="0"/>
      </w:tblPr>
      <w:tblGrid>
        <w:gridCol w:w="901"/>
        <w:gridCol w:w="7620"/>
        <w:gridCol w:w="5387"/>
        <w:gridCol w:w="1557"/>
      </w:tblGrid>
      <w:tr>
        <w:trPr>
          <w:trHeight w:val="615" w:hRule="atLeast"/>
        </w:trPr>
        <w:tc>
          <w:tcPr>
            <w:tcW w:w="901"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b/>
                <w:color w:val="000000"/>
                <w:kern w:val="0"/>
                <w:sz w:val="24"/>
                <w:szCs w:val="24"/>
                <w:lang w:val="ru-RU" w:eastAsia="zh-CN" w:bidi="hi-IN"/>
              </w:rPr>
              <w:t>№</w:t>
            </w:r>
          </w:p>
        </w:tc>
        <w:tc>
          <w:tcPr>
            <w:tcW w:w="7620" w:type="dxa"/>
            <w:tcBorders>
              <w:top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b/>
                <w:color w:val="000000"/>
                <w:kern w:val="0"/>
                <w:sz w:val="24"/>
                <w:szCs w:val="24"/>
                <w:lang w:val="ru-RU" w:eastAsia="zh-CN" w:bidi="hi-IN"/>
              </w:rPr>
              <w:t>Наименование</w:t>
            </w:r>
          </w:p>
        </w:tc>
        <w:tc>
          <w:tcPr>
            <w:tcW w:w="5387" w:type="dxa"/>
            <w:tcBorders>
              <w:top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b/>
                <w:color w:val="000000"/>
                <w:kern w:val="0"/>
                <w:sz w:val="24"/>
                <w:szCs w:val="24"/>
                <w:lang w:val="ru-RU" w:eastAsia="zh-CN" w:bidi="hi-IN"/>
              </w:rPr>
              <w:t>Организация</w:t>
            </w:r>
          </w:p>
        </w:tc>
        <w:tc>
          <w:tcPr>
            <w:tcW w:w="1557" w:type="dxa"/>
            <w:tcBorders>
              <w:top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b/>
                <w:color w:val="000000"/>
                <w:kern w:val="0"/>
                <w:sz w:val="24"/>
                <w:szCs w:val="24"/>
                <w:lang w:val="ru-RU" w:eastAsia="zh-CN" w:bidi="hi-IN"/>
              </w:rPr>
              <w:t>Количество человек</w:t>
            </w:r>
          </w:p>
        </w:tc>
      </w:tr>
      <w:tr>
        <w:trPr>
          <w:trHeight w:val="281" w:hRule="atLeast"/>
        </w:trPr>
        <w:tc>
          <w:tcPr>
            <w:tcW w:w="15465" w:type="dxa"/>
            <w:gridSpan w:val="4"/>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Отряды образовательных учреждений</w:t>
            </w:r>
          </w:p>
        </w:tc>
      </w:tr>
      <w:tr>
        <w:trPr>
          <w:trHeight w:val="280"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«Добрые сердца»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СОШ №1</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15</w:t>
            </w:r>
          </w:p>
        </w:tc>
      </w:tr>
      <w:tr>
        <w:trPr>
          <w:trHeight w:val="256"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2</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«Рука помощи»</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СОШ №2 им. Ж.И. Алферова</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22</w:t>
            </w:r>
          </w:p>
        </w:tc>
      </w:tr>
      <w:tr>
        <w:trPr>
          <w:trHeight w:val="261"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3</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«Лучи добра»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СОШ №3 им Ю.А. Гагарина</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19</w:t>
            </w:r>
          </w:p>
        </w:tc>
      </w:tr>
      <w:tr>
        <w:trPr>
          <w:trHeight w:val="253"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4</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«Инициатива»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ООШ №4</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3</w:t>
            </w:r>
          </w:p>
        </w:tc>
      </w:tr>
      <w:tr>
        <w:trPr>
          <w:trHeight w:val="226"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5</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«Патриот»</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Ленская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16</w:t>
            </w:r>
          </w:p>
        </w:tc>
      </w:tr>
      <w:tr>
        <w:trPr>
          <w:trHeight w:val="202"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6</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«Горячие сердца»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Усениновская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5</w:t>
            </w:r>
          </w:p>
        </w:tc>
      </w:tr>
      <w:tr>
        <w:trPr>
          <w:trHeight w:val="206"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7</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«Добрые сердца»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Чукреевская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8</w:t>
            </w:r>
          </w:p>
        </w:tc>
      </w:tr>
      <w:tr>
        <w:trPr>
          <w:trHeight w:val="182"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8</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«Вольная птица»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Шухруповская ООШ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10</w:t>
            </w:r>
          </w:p>
        </w:tc>
      </w:tr>
      <w:tr>
        <w:trPr>
          <w:trHeight w:val="314"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9</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«Пламя»</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Благовещенская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9</w:t>
            </w:r>
          </w:p>
        </w:tc>
      </w:tr>
      <w:tr>
        <w:trPr>
          <w:trHeight w:val="262"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10</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«Добро в руке»</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Фабричная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w:t>
            </w:r>
            <w:r>
              <w:rPr>
                <w:rFonts w:eastAsia="Liberation Serif" w:cs="Times New Roman" w:ascii="Times New Roman" w:hAnsi="Times New Roman"/>
                <w:kern w:val="0"/>
                <w:sz w:val="24"/>
                <w:szCs w:val="24"/>
                <w:lang w:val="ru-RU" w:eastAsia="zh-CN" w:bidi="hi-IN"/>
              </w:rPr>
              <w:t>4</w:t>
            </w:r>
          </w:p>
        </w:tc>
      </w:tr>
      <w:tr>
        <w:trPr>
          <w:trHeight w:val="252"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11</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«Прогресс»</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Липовская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4</w:t>
            </w:r>
          </w:p>
        </w:tc>
      </w:tr>
      <w:tr>
        <w:trPr>
          <w:trHeight w:val="229"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12</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«Радуга»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Коркинская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5</w:t>
            </w:r>
          </w:p>
        </w:tc>
      </w:tr>
      <w:tr>
        <w:trPr>
          <w:trHeight w:val="232"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13</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«Искра»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Леонтьевская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12</w:t>
            </w:r>
          </w:p>
        </w:tc>
      </w:tr>
      <w:tr>
        <w:trPr>
          <w:trHeight w:val="223"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14</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«Память поколений»</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Городищенская СОШ</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30</w:t>
            </w:r>
          </w:p>
        </w:tc>
      </w:tr>
      <w:tr>
        <w:trPr>
          <w:trHeight w:val="198"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15</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«СоТурМ»</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МАОУ ДО ЦДО «Спектр»</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42</w:t>
            </w:r>
          </w:p>
        </w:tc>
      </w:tr>
      <w:tr>
        <w:trPr>
          <w:trHeight w:val="198"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16</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здорового образа жизни</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ГКОУ СО «Туринская коррекционная школа-интернат»</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w:t>
            </w:r>
            <w:r>
              <w:rPr>
                <w:rFonts w:eastAsia="Liberation Serif" w:cs="Times New Roman" w:ascii="Times New Roman" w:hAnsi="Times New Roman"/>
                <w:kern w:val="0"/>
                <w:sz w:val="24"/>
                <w:szCs w:val="24"/>
                <w:lang w:val="ru-RU" w:eastAsia="zh-CN" w:bidi="hi-IN"/>
              </w:rPr>
              <w:t>1</w:t>
            </w:r>
          </w:p>
        </w:tc>
      </w:tr>
      <w:tr>
        <w:trPr>
          <w:trHeight w:val="203"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17</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«ТоМаТ-студент»</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ГАПОУ СО «Туринский многопрофильный техникум»</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20</w:t>
            </w:r>
          </w:p>
        </w:tc>
      </w:tr>
      <w:tr>
        <w:trPr>
          <w:trHeight w:val="203" w:hRule="atLeast"/>
        </w:trPr>
        <w:tc>
          <w:tcPr>
            <w:tcW w:w="15465" w:type="dxa"/>
            <w:gridSpan w:val="4"/>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Отряды работающей молодежи</w:t>
            </w:r>
          </w:p>
        </w:tc>
      </w:tr>
      <w:tr>
        <w:trPr>
          <w:trHeight w:val="203"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18</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«Д.В.Д. Туринский Поисковой»</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ООО «Гефест-Сталь», АОр «Туринский целлюлозно-бумажный завод» и др.</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6</w:t>
            </w:r>
          </w:p>
        </w:tc>
      </w:tr>
      <w:tr>
        <w:trPr>
          <w:trHeight w:val="203" w:hRule="atLeast"/>
        </w:trPr>
        <w:tc>
          <w:tcPr>
            <w:tcW w:w="15465" w:type="dxa"/>
            <w:gridSpan w:val="4"/>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Волонтеры серебряного возраста</w:t>
            </w:r>
          </w:p>
        </w:tc>
      </w:tr>
      <w:tr>
        <w:trPr>
          <w:trHeight w:val="178"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19</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«Туринское местное отделение Свердловской областной общественной организации ветеранов, пенсионеров Туринского городского округа»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Туринское местное отделение Свердловской областной общественной организации ветеранов, пенсионеров Туринского городского округа</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30</w:t>
            </w:r>
          </w:p>
        </w:tc>
      </w:tr>
      <w:tr>
        <w:trPr>
          <w:trHeight w:val="460"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20</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«Волонтеры серебряного возраста»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ГАУ СОН СО «Комплексный центр социального обслуживания населения Туринского района»</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kern w:val="0"/>
                <w:sz w:val="24"/>
                <w:szCs w:val="24"/>
                <w:lang w:val="ru-RU" w:eastAsia="zh-CN" w:bidi="hi-IN"/>
              </w:rPr>
              <w:t>13</w:t>
            </w:r>
          </w:p>
        </w:tc>
      </w:tr>
      <w:tr>
        <w:trPr>
          <w:trHeight w:val="460" w:hRule="atLeast"/>
        </w:trPr>
        <w:tc>
          <w:tcPr>
            <w:tcW w:w="15465" w:type="dxa"/>
            <w:gridSpan w:val="4"/>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Смешанные волонтерские отряды</w:t>
            </w:r>
          </w:p>
        </w:tc>
      </w:tr>
      <w:tr>
        <w:trPr>
          <w:trHeight w:val="129"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21</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«Молодая Гвардия Единой России»</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ВОО «Молодая гвардия Единой России»</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w:t>
            </w:r>
            <w:r>
              <w:rPr>
                <w:rFonts w:eastAsia="Liberation Serif" w:cs="Times New Roman" w:ascii="Times New Roman" w:hAnsi="Times New Roman"/>
                <w:kern w:val="0"/>
                <w:sz w:val="24"/>
                <w:szCs w:val="24"/>
                <w:lang w:val="ru-RU" w:eastAsia="zh-CN" w:bidi="hi-IN"/>
              </w:rPr>
              <w:t>0</w:t>
            </w:r>
          </w:p>
        </w:tc>
      </w:tr>
      <w:tr>
        <w:trPr>
          <w:trHeight w:val="129"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22</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Волонтерский отряд «Ирбис»</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Молодежно-подростковый клуб «Ирбис»</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10</w:t>
            </w:r>
          </w:p>
        </w:tc>
      </w:tr>
      <w:tr>
        <w:trPr>
          <w:trHeight w:val="129" w:hRule="atLeast"/>
        </w:trPr>
        <w:tc>
          <w:tcPr>
            <w:tcW w:w="901" w:type="dxa"/>
            <w:tcBorders>
              <w:left w:val="single" w:sz="8" w:space="0" w:color="000000"/>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23</w:t>
            </w:r>
          </w:p>
        </w:tc>
        <w:tc>
          <w:tcPr>
            <w:tcW w:w="7620"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Волонтерское объединение «Сердце Туринска»</w:t>
            </w:r>
          </w:p>
        </w:tc>
        <w:tc>
          <w:tcPr>
            <w:tcW w:w="538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w:t>
            </w:r>
          </w:p>
        </w:tc>
        <w:tc>
          <w:tcPr>
            <w:tcW w:w="1557" w:type="dxa"/>
            <w:tcBorders>
              <w:bottom w:val="single" w:sz="8" w:space="0" w:color="000000"/>
              <w:right w:val="single" w:sz="8" w:space="0" w:color="000000"/>
            </w:tcBorders>
          </w:tcPr>
          <w:p>
            <w:pPr>
              <w:pStyle w:val="LO-normal"/>
              <w:widowControl w:val="false"/>
              <w:suppressAutoHyphens w:val="true"/>
              <w:spacing w:before="0" w:after="0"/>
              <w:jc w:val="center"/>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37</w:t>
            </w:r>
          </w:p>
        </w:tc>
      </w:tr>
      <w:tr>
        <w:trPr>
          <w:trHeight w:val="315" w:hRule="atLeast"/>
        </w:trPr>
        <w:tc>
          <w:tcPr>
            <w:tcW w:w="901" w:type="dxa"/>
            <w:tcBorders>
              <w:top w:val="single" w:sz="8" w:space="0" w:color="000000"/>
              <w:left w:val="single" w:sz="8" w:space="0" w:color="000000"/>
              <w:bottom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0" w:type="dxa"/>
            <w:tcBorders>
              <w:top w:val="single" w:sz="8" w:space="0" w:color="000000"/>
              <w:bottom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387" w:type="dxa"/>
            <w:tcBorders>
              <w:top w:val="single" w:sz="8" w:space="0" w:color="000000"/>
              <w:bottom w:val="single" w:sz="8" w:space="0" w:color="000000"/>
              <w:right w:val="single" w:sz="8" w:space="0" w:color="000000"/>
            </w:tcBorders>
          </w:tcPr>
          <w:p>
            <w:pPr>
              <w:pStyle w:val="LO-normal"/>
              <w:widowControl w:val="false"/>
              <w:suppressAutoHyphens w:val="true"/>
              <w:spacing w:before="0" w:after="0"/>
              <w:jc w:val="righ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Итого:</w:t>
            </w:r>
          </w:p>
        </w:tc>
        <w:tc>
          <w:tcPr>
            <w:tcW w:w="1557" w:type="dxa"/>
            <w:tcBorders>
              <w:bottom w:val="single" w:sz="8" w:space="0" w:color="000000"/>
              <w:right w:val="single" w:sz="8" w:space="0" w:color="000000"/>
            </w:tcBorders>
          </w:tcPr>
          <w:p>
            <w:pPr>
              <w:pStyle w:val="LO-normal"/>
              <w:widowControl w:val="false"/>
              <w:suppressAutoHyphens w:val="true"/>
              <w:spacing w:before="0" w:after="0"/>
              <w:jc w:val="left"/>
              <w:rPr>
                <w:rFonts w:ascii="Times New Roman" w:hAnsi="Times New Roman" w:cs="Times New Roman"/>
                <w:color w:val="000000"/>
                <w:sz w:val="24"/>
                <w:szCs w:val="24"/>
              </w:rPr>
            </w:pPr>
            <w:r>
              <w:rPr>
                <w:rFonts w:eastAsia="Liberation Serif" w:cs="Times New Roman" w:ascii="Times New Roman" w:hAnsi="Times New Roman"/>
                <w:color w:val="000000"/>
                <w:kern w:val="0"/>
                <w:sz w:val="24"/>
                <w:szCs w:val="24"/>
                <w:lang w:val="ru-RU" w:eastAsia="zh-CN" w:bidi="hi-IN"/>
              </w:rPr>
              <w:t> </w:t>
            </w:r>
            <w:r>
              <w:rPr>
                <w:rFonts w:eastAsia="Liberation Serif" w:cs="Times New Roman" w:ascii="Times New Roman" w:hAnsi="Times New Roman"/>
                <w:kern w:val="0"/>
                <w:sz w:val="24"/>
                <w:szCs w:val="24"/>
                <w:lang w:val="ru-RU" w:eastAsia="zh-CN" w:bidi="hi-IN"/>
              </w:rPr>
              <w:t>351</w:t>
            </w:r>
          </w:p>
        </w:tc>
      </w:tr>
    </w:tbl>
    <w:p>
      <w:pPr>
        <w:pStyle w:val="LO-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O-normal"/>
        <w:rPr>
          <w:rFonts w:ascii="Times New Roman" w:hAnsi="Times New Roman" w:cs="Times New Roman"/>
          <w:color w:val="000000"/>
          <w:sz w:val="24"/>
          <w:szCs w:val="24"/>
        </w:rPr>
      </w:pPr>
      <w:r>
        <w:rPr>
          <w:rFonts w:cs="Times New Roman" w:ascii="Times New Roman" w:hAnsi="Times New Roman"/>
          <w:color w:val="000000"/>
          <w:sz w:val="24"/>
          <w:szCs w:val="24"/>
        </w:rPr>
      </w:r>
    </w:p>
    <w:sectPr>
      <w:type w:val="nextPage"/>
      <w:pgSz w:orient="landscape" w:w="16838" w:h="11906"/>
      <w:pgMar w:left="720" w:right="720" w:gutter="0" w:header="0" w:top="720" w:footer="0" w:bottom="72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Liberation Serif" w:cs="Liberation Serif"/>
      <w:color w:val="auto"/>
      <w:kern w:val="0"/>
      <w:sz w:val="20"/>
      <w:szCs w:val="20"/>
      <w:lang w:val="ru-RU" w:eastAsia="zh-CN" w:bidi="hi-IN"/>
    </w:rPr>
  </w:style>
  <w:style w:type="paragraph" w:styleId="Heading1">
    <w:name w:val="heading 1"/>
    <w:basedOn w:val="LO-normal"/>
    <w:next w:val="LO-normal"/>
    <w:qFormat/>
    <w:pPr>
      <w:keepNext w:val="true"/>
      <w:keepLines/>
      <w:spacing w:before="480" w:after="120"/>
      <w:outlineLvl w:val="0"/>
    </w:pPr>
    <w:rPr>
      <w:b/>
      <w:sz w:val="48"/>
      <w:szCs w:val="48"/>
    </w:rPr>
  </w:style>
  <w:style w:type="paragraph" w:styleId="Heading2">
    <w:name w:val="heading 2"/>
    <w:basedOn w:val="LO-normal"/>
    <w:next w:val="LO-normal"/>
    <w:qFormat/>
    <w:pPr>
      <w:keepNext w:val="true"/>
      <w:keepLines/>
      <w:spacing w:before="360" w:after="80"/>
      <w:outlineLvl w:val="1"/>
    </w:pPr>
    <w:rPr>
      <w:b/>
      <w:sz w:val="36"/>
      <w:szCs w:val="36"/>
    </w:rPr>
  </w:style>
  <w:style w:type="paragraph" w:styleId="Heading3">
    <w:name w:val="heading 3"/>
    <w:basedOn w:val="LO-normal"/>
    <w:next w:val="LO-normal"/>
    <w:qFormat/>
    <w:pPr>
      <w:keepNext w:val="true"/>
      <w:keepLines/>
      <w:spacing w:before="280" w:after="80"/>
      <w:outlineLvl w:val="2"/>
    </w:pPr>
    <w:rPr>
      <w:b/>
      <w:sz w:val="28"/>
      <w:szCs w:val="28"/>
    </w:rPr>
  </w:style>
  <w:style w:type="paragraph" w:styleId="Heading4">
    <w:name w:val="heading 4"/>
    <w:basedOn w:val="LO-normal"/>
    <w:next w:val="LO-normal"/>
    <w:qFormat/>
    <w:pPr>
      <w:keepNext w:val="true"/>
      <w:keepLines/>
      <w:spacing w:before="240" w:after="40"/>
      <w:outlineLvl w:val="3"/>
    </w:pPr>
    <w:rPr>
      <w:b/>
      <w:sz w:val="24"/>
      <w:szCs w:val="24"/>
    </w:rPr>
  </w:style>
  <w:style w:type="paragraph" w:styleId="Heading5">
    <w:name w:val="heading 5"/>
    <w:basedOn w:val="LO-normal"/>
    <w:next w:val="LO-normal"/>
    <w:qFormat/>
    <w:pPr>
      <w:keepNext w:val="true"/>
      <w:keepLines/>
      <w:spacing w:before="220" w:after="40"/>
      <w:outlineLvl w:val="4"/>
    </w:pPr>
    <w:rPr>
      <w:b/>
      <w:sz w:val="22"/>
      <w:szCs w:val="22"/>
    </w:rPr>
  </w:style>
  <w:style w:type="paragraph" w:styleId="Heading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paragraph" w:styleId="Style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9">
    <w:name w:val="Указатель"/>
    <w:basedOn w:val="Normal"/>
    <w:qFormat/>
    <w:pPr>
      <w:suppressLineNumbers/>
    </w:pPr>
    <w:rPr>
      <w:rFonts w:ascii="PT Astra Serif" w:hAnsi="PT Astra Serif" w:cs="Noto Sans Devanagari"/>
      <w:lang w:val="zxx" w:eastAsia="zxx" w:bidi="zxx"/>
    </w:rPr>
  </w:style>
  <w:style w:type="paragraph" w:styleId="IndexHeading">
    <w:name w:val="index heading"/>
    <w:basedOn w:val="Normal"/>
    <w:qFormat/>
    <w:pPr>
      <w:suppressLineNumbers/>
    </w:pPr>
    <w:rPr>
      <w:rFonts w:ascii="PT Astra Serif" w:hAnsi="PT Astra Serif" w:cs="Noto Sans Devanagari"/>
    </w:rPr>
  </w:style>
  <w:style w:type="paragraph" w:styleId="LO-normal" w:customStyle="1">
    <w:name w:val="LO-normal"/>
    <w:qFormat/>
    <w:pPr>
      <w:widowControl/>
      <w:suppressAutoHyphens w:val="true"/>
      <w:bidi w:val="0"/>
      <w:spacing w:before="0" w:after="0"/>
      <w:jc w:val="left"/>
    </w:pPr>
    <w:rPr>
      <w:rFonts w:ascii="Liberation Serif" w:hAnsi="Liberation Serif" w:eastAsia="Liberation Serif" w:cs="Liberation Serif"/>
      <w:color w:val="auto"/>
      <w:kern w:val="0"/>
      <w:sz w:val="20"/>
      <w:szCs w:val="20"/>
      <w:lang w:val="ru-RU" w:eastAsia="zh-CN" w:bidi="hi-IN"/>
    </w:rPr>
  </w:style>
  <w:style w:type="paragraph" w:styleId="Title">
    <w:name w:val="Title"/>
    <w:basedOn w:val="LO-normal"/>
    <w:next w:val="LO-normal"/>
    <w:qFormat/>
    <w:pPr>
      <w:keepNext w:val="true"/>
      <w:keepLines/>
      <w:spacing w:before="480" w:after="120"/>
    </w:pPr>
    <w:rPr>
      <w:b/>
      <w:sz w:val="72"/>
      <w:szCs w:val="72"/>
    </w:rPr>
  </w:style>
  <w:style w:type="paragraph" w:styleId="Subtitle">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Style10" w:customStyle="1">
    <w:name w:val="Содержимое таблицы"/>
    <w:basedOn w:val="Normal"/>
    <w:qFormat/>
    <w:pPr>
      <w:widowControl w:val="false"/>
      <w:suppressLineNumbers/>
    </w:pPr>
    <w:rPr/>
  </w:style>
  <w:style w:type="paragraph" w:styleId="Style11" w:customStyle="1">
    <w:name w:val="Заголовок таблицы"/>
    <w:basedOn w:val="Style10"/>
    <w:qFormat/>
    <w:pPr>
      <w:jc w:val="center"/>
    </w:pPr>
    <w:rPr>
      <w:b/>
      <w:bCs/>
    </w:rPr>
  </w:style>
  <w:style w:type="numbering" w:styleId="Style12"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123</TotalTime>
  <Application>LibreOffice/24.8.3.2$Linux_X86_64 LibreOffice_project/48a6bac9e7e268aeb4c3483fcf825c94556d9f92</Application>
  <AppVersion>15.0000</AppVersion>
  <Pages>3</Pages>
  <Words>814</Words>
  <Characters>5936</Characters>
  <CharactersWithSpaces>6632</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2024-04-04T11:55:00Z</dcterms:created>
  <dc:creator/>
  <dc:description/>
  <dc:language>ru-RU</dc:language>
  <cp:lastModifiedBy/>
  <cp:lastPrinted>2024-01-11T09:34:00Z</cp:lastPrinted>
  <dcterms:modified xsi:type="dcterms:W3CDTF">2024-12-23T11:50:35Z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