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Паспорт проекта для участия в конкурсном отборе проектов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молодежного инициативного бюджетирования в Республике Карелия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center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cs="Arial"/>
          <w:sz w:val="24"/>
          <w:szCs w:val="24"/>
          <w:highlight w:val="none"/>
          <w14:ligatures w14:val="none"/>
        </w:rPr>
        <w:t xml:space="preserve">Номинация: образовательные учреждения, расположенные в г.Петрозаводске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 ОБЩИЕ СВЕДЕНИЯ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1.1. Название инициативного проекта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«Центр Детских Инициатив «Горизонты возможностей» - пространство для волонтёрского старта»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1.2. Направление проекта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Ученические и студенческие сообщества (развитие ученических и студенческих общественных объединений и ученического (студенческого) самоуправления, социальное проектирование.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1.3. Наименование образовательной организации: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МОУ «Средняя общеобразовательная школа № 39»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Муниципальное образование: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Петрозаводский городской округ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1.4.Краткое описание проекта (деятельности в рамках проекта)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</w:t>
      </w:r>
      <w:r>
        <w:rPr>
          <w:rFonts w:ascii="Arial" w:hAnsi="Arial" w:eastAsia="Arial" w:cs="Arial"/>
          <w:sz w:val="24"/>
          <w:szCs w:val="24"/>
          <w:highlight w:val="none"/>
        </w:rPr>
        <w:br/>
      </w:r>
      <w:r>
        <w:rPr>
          <w:rFonts w:ascii="Arial" w:hAnsi="Arial" w:eastAsia="Arial" w:cs="Arial"/>
          <w:sz w:val="24"/>
          <w:szCs w:val="24"/>
          <w:highlight w:val="none"/>
        </w:rPr>
        <w:t xml:space="preserve">Мы хотим создать пространство для свободного общения , сотрудничества и взаимодействия школьников посредством открытия Центра Детских инициатив «Го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ризонты возможностей». В работе центра будут задействованы обучающиеся 5-6 классов и их наставники команда наставников – активистов, старшеклассников из школьного парламента. На первом этапе работы наставники , будут проводиться тренинги по командообразова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нию, на коммуникацию, Наставники познакомятся с работой волонтеров. После этого, наставники будут обучать команды 5-6 классов. Ученики смогут реализовать добровольческий потенциал, создадут свои буклеты  по теме « Я-Волонтер», сделают свою игру - бродилку,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(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Это классические настольные игры, где нужно бросать кубик и передвигать фишки по игровому полю к финишу).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Данный проект поможет реализовать добровольческий потенциал обучающихся.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Помещение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 Центра  Детских инициатив будет располагаться на 3  этаже школы.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ind w:left="0" w:firstLine="0"/>
        <w:jc w:val="left"/>
        <w:spacing w:after="0" w:afterAutospacing="0" w:line="360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1.5. Описание 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актуальности и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 обоснование социальной значимости проекта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left"/>
        <w:spacing w:after="0" w:afterAutospacing="0" w:line="360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lang w:val="en-US"/>
        </w:rPr>
      </w:r>
      <w:r>
        <w:rPr>
          <w:rFonts w:ascii="Arial" w:hAnsi="Arial" w:eastAsia="Arial" w:cs="Arial"/>
          <w:color w:val="080808"/>
          <w:spacing w:val="-5"/>
          <w:sz w:val="24"/>
          <w:highlight w:val="none"/>
        </w:rPr>
        <w:t xml:space="preserve">Проект направлен на воспитание социально активных и ответственных граждан через вовлечение детей в волонтерскую деятельность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0" w:firstLine="0"/>
        <w:spacing w:before="0" w:after="0" w:line="360" w:lineRule="auto"/>
        <w:shd w:val="clear" w:color="fafcff" w:fill="fafcff"/>
        <w:rPr>
          <w:rFonts w:ascii="Arial" w:hAnsi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 w:themeColor="text1"/>
          <w:spacing w:val="-5"/>
          <w:sz w:val="24"/>
          <w:szCs w:val="24"/>
        </w:rPr>
        <w:t xml:space="preserve">Идея:</w:t>
      </w:r>
      <w:r>
        <w:rPr>
          <w:rFonts w:ascii="Arial" w:hAnsi="Arial" w:eastAsia="Arial" w:cs="Arial"/>
          <w:color w:val="000000" w:themeColor="text1"/>
          <w:spacing w:val="-5"/>
          <w:sz w:val="24"/>
          <w:szCs w:val="24"/>
        </w:rPr>
        <w:t xml:space="preserve"> Создание пространства для реализации детских инициатив, развития социальных навыков и приобщения школьников к волонтерской деятельности.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360" w:lineRule="auto"/>
        <w:shd w:val="clear" w:color="fafcff" w:fill="fafcff"/>
        <w:rPr>
          <w:rFonts w:ascii="Arial" w:hAnsi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 w:themeColor="text1"/>
          <w:spacing w:val="-5"/>
          <w:sz w:val="24"/>
          <w:szCs w:val="24"/>
        </w:rPr>
        <w:t xml:space="preserve">Содержание:</w:t>
      </w:r>
      <w:r>
        <w:rPr>
          <w:rFonts w:ascii="Arial" w:hAnsi="Arial" w:eastAsia="Arial" w:cs="Arial"/>
          <w:color w:val="000000" w:themeColor="text1"/>
          <w:spacing w:val="-5"/>
          <w:sz w:val="24"/>
          <w:szCs w:val="24"/>
        </w:rPr>
        <w:t xml:space="preserve"> Организация и проведение мероприятий, направленных на формирование у детей активной жизненной позиции, навыков лидерства и сотрудничества. Создание условий для самореализации, раскрытия талантов и проявления инициативы.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 w:line="360" w:lineRule="auto"/>
        <w:shd w:val="clear" w:color="fafcff" w:fill="fafcff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 w:themeColor="text1"/>
          <w:spacing w:val="-5"/>
          <w:sz w:val="24"/>
          <w:szCs w:val="24"/>
        </w:rPr>
        <w:t xml:space="preserve">Ожидаемые результаты: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pStyle w:val="931"/>
        <w:numPr>
          <w:ilvl w:val="0"/>
          <w:numId w:val="45"/>
        </w:numPr>
        <w:ind w:right="0"/>
        <w:spacing w:before="0" w:after="0" w:line="360" w:lineRule="auto"/>
        <w:shd w:val="clear" w:color="fafcff" w:fill="fafcff"/>
        <w:rPr>
          <w:rFonts w:ascii="Arial" w:hAnsi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pacing w:val="-5"/>
          <w:sz w:val="24"/>
          <w:szCs w:val="24"/>
        </w:rPr>
        <w:t xml:space="preserve">Формирование устойчивой молодежной волонтёрской среды.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931"/>
        <w:numPr>
          <w:ilvl w:val="0"/>
          <w:numId w:val="45"/>
        </w:numPr>
        <w:ind w:right="0"/>
        <w:spacing w:before="30" w:after="0" w:line="360" w:lineRule="auto"/>
        <w:shd w:val="clear" w:color="fafcff" w:fill="fafcff"/>
        <w:rPr>
          <w:rFonts w:ascii="Arial" w:hAnsi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pacing w:val="-5"/>
          <w:sz w:val="24"/>
          <w:szCs w:val="24"/>
        </w:rPr>
        <w:t xml:space="preserve">Повышение уровня социальной активности и ответственности среди школьников.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931"/>
        <w:numPr>
          <w:ilvl w:val="0"/>
          <w:numId w:val="45"/>
        </w:numPr>
        <w:ind w:right="0"/>
        <w:spacing w:before="30" w:after="0" w:line="360" w:lineRule="auto"/>
        <w:shd w:val="clear" w:color="fafcff" w:fill="fafcff"/>
        <w:rPr>
          <w:rFonts w:ascii="Arial" w:hAnsi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pacing w:val="-5"/>
          <w:sz w:val="24"/>
          <w:szCs w:val="24"/>
        </w:rPr>
        <w:t xml:space="preserve">Развитие навыков общения, командной работы и инициативности.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931"/>
        <w:numPr>
          <w:ilvl w:val="0"/>
          <w:numId w:val="45"/>
        </w:numPr>
        <w:ind w:right="0"/>
        <w:spacing w:before="30" w:after="0" w:line="360" w:lineRule="auto"/>
        <w:shd w:val="clear" w:color="fafcff" w:fill="fafcff"/>
        <w:rPr>
          <w:rFonts w:ascii="Arial" w:hAnsi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pacing w:val="-5"/>
          <w:sz w:val="24"/>
          <w:szCs w:val="24"/>
        </w:rPr>
        <w:t xml:space="preserve">Устойчивое развитие волонтерского движения в образовательном учреждении.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ind w:left="0" w:firstLine="0"/>
        <w:jc w:val="left"/>
        <w:spacing w:after="0" w:afterAutospacing="0" w:line="360" w:lineRule="auto"/>
        <w:rPr>
          <w:rFonts w:ascii="Arial" w:hAnsi="Arial" w:cs="Arial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u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  <w:lang w:val="en-US"/>
        </w:rPr>
      </w:r>
      <w:r>
        <w:rPr>
          <w:rFonts w:ascii="Arial" w:hAnsi="Arial" w:cs="Arial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u w:val="none"/>
        </w:rPr>
      </w:r>
      <w:r>
        <w:rPr>
          <w:rFonts w:ascii="Arial" w:hAnsi="Arial" w:cs="Arial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u w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1.6. Целевая группа проекта: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обучающиеся 5-6 классов нашей школы в количестве 263 человек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Проблема равнодушия и чрезмерной увлеченности играми у учеников 5–6 классов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наблюдается повсеместно.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Постоянное пользование гаджетами приводит к нарушению концентрации внимания, появлению раздражительности, тревожности и даже депрессии. Некоторые дети теряют интерес к реальной жизни, предпочитая виртуальный мир.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Время, потраченное на игры, сокращает возможность общения со сверстниками и близкими людьми.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Реш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ение данной пробле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мы мы видим в создание альтернативных занятий, увлеченности учениками волонтерством. Используя возможности ЦДИ данная проблема будет ,надеемся, решена. Для наставников это будет хороший опыт для умения контактировать между собой,слаженной работы в команде.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val="en-US"/>
        </w:rPr>
        <w:t xml:space="preserve">1</w:t>
      </w:r>
      <w:r>
        <w:rPr>
          <w:rFonts w:ascii="Arial" w:hAnsi="Arial" w:eastAsia="Arial" w:cs="Arial"/>
          <w:sz w:val="24"/>
          <w:szCs w:val="24"/>
          <w:highlight w:val="none"/>
          <w:lang w:val="ru-RU"/>
        </w:rPr>
        <w:t xml:space="preserve">.7.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Цель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color w:val="080808"/>
          <w:spacing w:val="-5"/>
          <w:sz w:val="24"/>
          <w:highlight w:val="none"/>
        </w:rPr>
        <w:t xml:space="preserve">Формирование активной жизненной позиции и развитие социальных навыков у учащихся 5–6 классов через создание открытого пространства для общения, инициатив и волонтерской деятельности в Центре Детских Инициатив «Горизонты возможностей».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1.8. Задачи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pStyle w:val="931"/>
        <w:numPr>
          <w:ilvl w:val="0"/>
          <w:numId w:val="47"/>
        </w:numPr>
        <w:jc w:val="both"/>
        <w:spacing w:after="0" w:afterAutospacing="0" w:line="360" w:lineRule="auto"/>
        <w:shd w:val="nil" w:color="000000"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Информировать о возможностях проекта по созданию  пространства для волонтёрского старта.</w:t>
      </w:r>
      <w:r/>
    </w:p>
    <w:p>
      <w:pPr>
        <w:pStyle w:val="931"/>
        <w:numPr>
          <w:ilvl w:val="0"/>
          <w:numId w:val="47"/>
        </w:numPr>
        <w:jc w:val="both"/>
        <w:spacing w:after="0" w:afterAutospacing="0" w:line="360" w:lineRule="auto"/>
        <w:shd w:val="nil" w:color="000000"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Сформировать команду волонтеров.</w:t>
      </w:r>
      <w:r/>
    </w:p>
    <w:p>
      <w:pPr>
        <w:pStyle w:val="931"/>
        <w:numPr>
          <w:ilvl w:val="0"/>
          <w:numId w:val="47"/>
        </w:numPr>
        <w:jc w:val="both"/>
        <w:spacing w:after="0" w:afterAutospacing="0" w:line="360" w:lineRule="auto"/>
        <w:shd w:val="nil" w:color="000000"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Реализовать добровольческий потенциал команды волонтеров и вовлечь обучающихся в волонтерскую деятельность</w:t>
      </w:r>
      <w:r/>
    </w:p>
    <w:p>
      <w:pPr>
        <w:pStyle w:val="931"/>
        <w:numPr>
          <w:ilvl w:val="0"/>
          <w:numId w:val="47"/>
        </w:num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Подведение итогов работы, рефлексия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1.9. Объект реализации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Объектом реализации проекта «Горизонты возможностей: пространство для волонтёрского старта» является организация пространства в школе, которое будет служить площадкой для: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Свободного общения, обсуждения и реализации инициатив учащихся 5-6 х классов.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Привлечения детей к волонтерским проектам и социальной активности.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Поддержки и развития социальных навыков, навыков сотрудничества и лидерства.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Создания условий для реализации потенциала школьников через волонтерскую деятельность.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Основное внимание уделяется созданию открытой и дружелюбной обстановки, способствующей творческому развитию и раскрытию индивидуальности каждого ребенка.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ЦДИ будет располагаться на 3 этаже школы.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1.10. Ожидаемые результаты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Количественные: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1. Количественные результаты проекта создания центра детских инициатив в школе 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right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1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tbl>
      <w:tblPr>
        <w:tblStyle w:val="752"/>
        <w:tblW w:w="0" w:type="auto"/>
        <w:tblLook w:val="04A0" w:firstRow="1" w:lastRow="0" w:firstColumn="1" w:lastColumn="0" w:noHBand="0" w:noVBand="1"/>
      </w:tblPr>
      <w:tblGrid>
        <w:gridCol w:w="4818"/>
        <w:gridCol w:w="4818"/>
      </w:tblGrid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Количество участников проекта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Минимум 50% учащихся 5-6 х классов примут участие в волонтерских мероприятиях и проектах.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Число реализованных инициатив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Будет создано и успешно выполнено минимум 5 волонтерских проектов и инициатив.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Объем выполненных рабо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Всего участниками будет выполнено не менее 100 часов волонтерской работы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Рост социальной активности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Количество школьников, принимающих участие в социальных проектах, увеличится минимум на 30%.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Развитие социальных навыков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 основании наблюдений и анкетирования будет зафиксировано повышение уровня навыков общения, сотрудничества и лидерства у 70% участников проекта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Общее число обучающихся 5-6 классов в образовательной организации, на 01.03.2026, 263 человека.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Число благополучателей проекта из числа обучающихся, 140 человека.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Количество благополучателей проекта, в процентах (%) от общего числа обучающихся образовательной организации 53%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Таблица 2 </w:t>
      </w:r>
      <w:r>
        <w:rPr>
          <w:rFonts w:ascii="Arial" w:hAnsi="Arial" w:eastAsia="Arial" w:cs="Arial"/>
          <w:sz w:val="24"/>
          <w:szCs w:val="24"/>
          <w:highlight w:val="white"/>
        </w:rPr>
        <w:t xml:space="preserve">Качественные результаты проекта: </w:t>
      </w:r>
      <w:r>
        <w:rPr>
          <w:rFonts w:ascii="Arial" w:hAnsi="Arial" w:cs="Arial"/>
          <w:iCs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white"/>
          <w14:ligatures w14:val="none"/>
        </w:rPr>
      </w:r>
    </w:p>
    <w:p>
      <w:pPr>
        <w:jc w:val="right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Таблица 2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tbl>
      <w:tblPr>
        <w:tblStyle w:val="752"/>
        <w:tblW w:w="0" w:type="auto"/>
        <w:tblLook w:val="04A0" w:firstRow="1" w:lastRow="0" w:firstColumn="1" w:lastColumn="0" w:noHBand="0" w:noVBand="1"/>
      </w:tblPr>
      <w:tblGrid>
        <w:gridCol w:w="4818"/>
        <w:gridCol w:w="4818"/>
      </w:tblGrid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Качественные результаты проекта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Способы их измерения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 1. Повышение уровня социальной активности школьников.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Мониторинг количества учащихся, которые добровольно принимают участие в мероприятиях и выступают инициаторами собственных проектов.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2. Развитие лидерских и коммуникативных навыков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3. Осознание ценности помощи другим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Оценка  способности к постановке целей, планированию и реализации проектов, а также взаимодействию с другими участниками.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Проведение бесед и интервью с участниками проекта, в ходе которых выясняется, изменилось ли их отношение к помощи другим и доброволь</w:t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честву в результате участия в проекте.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Формирование у детей чувства ответственности и понимания важности социальной активности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white"/>
              </w:rPr>
              <w:t xml:space="preserve">Проведение бесед и интервью с участниками проекта, в ходе которых выясняется, изменилось ли их отношение к помощи другим и добровольчеству в результате участия в проекте.</w:t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Социальный эффект от реализации проекта: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После реализации мероприятий проекта по развитию волонтерства у целевой аудитории произойдут следующие изменения: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Повышение уровня социальной активности и ответственности.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Развитие лидерских и управленческих навыков.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Улучшение навыков общения и работы в команде.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Появление осознанного интереса к волонтерской деятельности и общественной жизни.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whit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white"/>
        </w:rPr>
        <w:t xml:space="preserve">Формирование привычки регулярно участвовать в социальных инициативах.</w:t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  <w:r>
        <w:rPr>
          <w:rFonts w:ascii="Arial" w:hAnsi="Arial" w:cs="Arial"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1.11. Перспектива развития и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д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альнейшее развитие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Постепенно подключать к проекту учащихся 7-го и последующих классов, увеличивая количество вовлеченных детей.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Будем устанавливать  сотрудничество с региональными и федеральными волонтёрскими движениями, благотворительными фондами и иными организациями.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Планируем организовывать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регулярных семинары, форумы и мастер-классы, где участники смогут делиться опытом и развивать свои инициативы.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Повышение информированности общества о деятельности центра через освещение событий в средствах массовой информации.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Отложенный социальный эффект проекта «Горизонты возможностей: пространство для волонтёрского старта» выражается в долговременных позитивных изменениях в сознании и поведении участников, которые проявляются спустя некоторое время после окончания проекта.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Дети, участвовавшие в проекте, приобретают способность работать в команде, управлять проектами, планировать и организовывать деятельность, что впоследствии отражается на их карьере и профессиональном росте.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У большинства участников произойдут значительные изменения в жизненных установках и приоритетах, акцент смещается на помощь другим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Ученики  вовлеченные в позитивную деятельность, уменьшается вероятность попадания в неблагоприятные компании и антисоциальные явления.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Дальнейшие источники финансирования проекта: участие в грантах, поддержка шефа школы ДОК «Калевала»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1.12.Команда проекта.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(Членами проектной команды вправе выступать обучающиеся 8–10 классов, студенты СПО в возрасте от 14 до 35 лет)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Чапкин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Павел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, Багомедова Амина,  Маркина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Дарья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Куратор проекта: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Толмачева Елена Адольфовна, советник директора по воспитанию, МОУ « Средняя общеобразовательная школа № 39»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(ФИО (полностью), должность, место работы)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Контактные данные куратора проекта: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89114150043, </w:t>
      </w:r>
      <w:r>
        <w:rPr>
          <w:rFonts w:ascii="Arial" w:hAnsi="Arial" w:eastAsia="Arial" w:cs="Arial"/>
          <w:sz w:val="24"/>
          <w:szCs w:val="24"/>
          <w:highlight w:val="none"/>
          <w:lang w:val="en-US"/>
        </w:rPr>
        <w:t xml:space="preserve">ea-tolmacheva@yandex.ru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(контактный номер телефона, адрес электронной почты)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Автор проекта (инициатор):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Чапкин Павел Владимирович 8 В класс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(ФИО (полностью), класс обучения/группа)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3 Состав членов проектной команды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right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3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90"/>
        <w:gridCol w:w="1485"/>
        <w:gridCol w:w="1689"/>
        <w:gridCol w:w="1891"/>
        <w:gridCol w:w="2220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Фамилия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Имя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Класс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  <w:lang w:val="en-US"/>
              </w:rPr>
              <w:t xml:space="preserve">/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Группа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Электронная почта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Роль в команде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Маркина 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Дарья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9 Д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markina2103.ghu@yandex.ru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организатор тренингов, наставник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Чапкин 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Павел 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8 В 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vladimircapkin5@gmail.com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Инициатор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Багомедова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Амина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9 Д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bagomedova.sarat@mail.ru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оформитель,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наставник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1.13. Опыт заявителя по реализации мероприятий и проектов: 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нет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1.14.Таблица 4 Календарный план проекта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right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4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tbl>
      <w:tblPr>
        <w:tblW w:w="0" w:type="auto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6"/>
        <w:gridCol w:w="1768"/>
        <w:gridCol w:w="1396"/>
        <w:gridCol w:w="1396"/>
        <w:gridCol w:w="1406"/>
        <w:gridCol w:w="1797"/>
        <w:gridCol w:w="1727"/>
      </w:tblGrid>
      <w:tr>
        <w:tblPrEx/>
        <w:trPr/>
        <w:tc>
          <w:tcPr>
            <w:tcW w:w="110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Задача проекта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6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Наименование мероприятия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Срок проведения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Место проведения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Количество участников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Ответственный исполнитель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Результат мероприятия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647"/>
        </w:trPr>
        <w:tc>
          <w:tcPr>
            <w:tcW w:w="11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Информировать о возможностях проекта создания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пространства для волонтёрского старта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6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Набор в команду наставников -организаторов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Сентябрь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сформирована команда наставников-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мотивированных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организаторов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75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 w:firstLine="0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Создать ролик и буклет о возможностях волонтерства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Сентябрь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+ наставники и команда желающих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видео и буклет обеспечивают мощное сочетание визуализации, информативности и эмоционального воздействия, что способствует привлечению новых волонтеров.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148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 w:firstLine="0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Оформление центра детских инициатив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Август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+ наставники и команда желающих 5,6 классов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чащиеся приобрели опыт проектирования и обустройства помещения, ощутили свою значимость и ответственность за создание комфортной среды.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217"/>
        </w:trPr>
        <w:tc>
          <w:tcPr>
            <w:tcW w:w="11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firstLine="0"/>
              <w:jc w:val="both"/>
              <w:spacing w:after="0" w:afterAutospacing="0" w:line="360" w:lineRule="auto"/>
              <w:shd w:val="nil" w:color="000000"/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Сформировать команду волонтеров.</w:t>
            </w:r>
            <w:r/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Тренинг на командообразование у наставников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Октябрь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ЦДИ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+ психолог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формирование сплочённого и мотивированного коллектива, способного эффективно взаимодействовать и поддерживать друг друга в осуществлении проектов и мероприятий центра детских инициатив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550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Отбор команд участников волонтеров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Октябрь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5-6 классы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Не менее 200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 + классные руководители+ наставники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Сформировано несколько инициативных команд, состоящих из мотивированных и деятельных школьников, готовых активно участвовать в волонтерских проектах и мероприятиях центра детских инициатив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648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Мастер класс и тренинги у команд волонтеров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Октябрь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5-6 классы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Не менее 200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 + классные руководители+ наставники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частники повысили свои навыки и компетенции, необходимые для эффективной волонтерской деятельности, и приобрели уверенность в реализации собственных инициатив.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646"/>
        </w:trPr>
        <w:tc>
          <w:tcPr>
            <w:tcW w:w="1106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360" w:lineRule="auto"/>
              <w:shd w:val="nil" w:color="000000"/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Реализовать добровольческий потенциал команды волонтеров и вовлечь обучающихся в волонтерскую деятельность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/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6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Неделя добрых дел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Ноябрь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5-6 классы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Не менее 200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 + классные руководители+ наставники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команды волонтеров реализовали ряд полезных инициатив и мероприятий, направленных на помощь окружающим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790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 w:firstLine="0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675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 w:firstLine="0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Фестиваль добрых дел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Ноябрь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5-6 классы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Не менее 200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 + классные руководители+ наставники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роведен фестиваль добрых дел, на котором участники представили свои волонтерские проекты и инициативы. Мероприятие способствовало развитию чувства ответственности, коллективизма и сопричастности к общему благу, а также повысило интерес к волонтерской деят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ельности среди школьников.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523"/>
        </w:trPr>
        <w:tc>
          <w:tcPr>
            <w:tcW w:w="110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left="0" w:firstLine="0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</w:tc>
        <w:tc>
          <w:tcPr>
            <w:tcW w:w="176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Создание игры бродилки по волонтерству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Ноябрь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5-6 классы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Не менее 200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 + классные руководители+ наставники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Создана игровая модель в жанре «бродилка», посвящённая волонтёрству. Игра помогает детям узнать о значении волонтёрства, видах деятельности и правилах участия, повышает интерес к социальной активности и формирует позитивное отношение к волонтёрскому движен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ию.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110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Подведение итогов работы, рефлексия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6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«Мастерская обратной связи»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Декабрь 2026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39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наставники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06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9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Толмачева Е.А. + психолог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2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открытое обсуждение успехов и недостатков, стимулирование коллективного мышления и выработка стратегии развития команды наставников.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b/>
          <w:bCs/>
          <w:i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  <w:t xml:space="preserve">2. Бюджет и ресурсы по проекту: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2.1 Требуемый объём необходимых на реализацию проекта средств (всего)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Запрашиваемая сумма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</w:t>
      </w:r>
      <w:r>
        <w:rPr>
          <w:rFonts w:ascii="Arial" w:hAnsi="Arial" w:eastAsia="Arial" w:cs="Arial"/>
          <w:b w:val="0"/>
          <w:i w:val="0"/>
          <w:strike w:val="0"/>
          <w:color w:val="000000"/>
          <w:sz w:val="24"/>
          <w:szCs w:val="24"/>
          <w:u w:val="none"/>
          <w:vertAlign w:val="baseline"/>
        </w:rPr>
        <w:t xml:space="preserve">439804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рублей 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(максимальный объем финансирования одного проекта – 500 тысяч рублей).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i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2.2 Таблица 5 Обоснование расчётов бюджета (смета проекта)</w:t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iCs/>
          <w:sz w:val="24"/>
          <w:szCs w:val="24"/>
          <w:highlight w:val="none"/>
          <w14:ligatures w14:val="none"/>
        </w:rPr>
      </w:r>
    </w:p>
    <w:p>
      <w:pPr>
        <w:jc w:val="right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5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tbl>
      <w:tblPr>
        <w:tblW w:w="10773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8"/>
        <w:gridCol w:w="2024"/>
        <w:gridCol w:w="1417"/>
        <w:gridCol w:w="1134"/>
        <w:gridCol w:w="1418"/>
        <w:gridCol w:w="1842"/>
        <w:gridCol w:w="2160"/>
      </w:tblGrid>
      <w:tr>
        <w:tblPrEx/>
        <w:trPr>
          <w:trHeight w:val="5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п/п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Наименование статьи расходов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Стоимость за ед, руб.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Количество, шт.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Стоимость всего, руб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Описание статьи расходов с обоснование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целесообразности включения статьи расходов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ссылки на аналогичные госзакупки и т.д.)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Диван офисный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55 030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55030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Создание комфортной зоны отдыха и расслабления для волонтеров, где они могут спокойно пообщаться, отдохнуть, поработать над проектами или почитать литературу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9" w:tooltip="https://n-72.ru/catalog/vsye_dlya_shkoly/osnashchenie_uchitelskoy/divany_i_pufy_v_uchitelskuyu/?PAGEN_1=2" w:history="1"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  <w:t xml:space="preserve">https://n-72.ru/catalog/vsye_dlya_shkoly/osnashchenie_uchitelskoy/divany_i_pufy_v_uchitelskuyu/?PAGEN_1=2</w:t>
              </w:r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</w:r>
            </w:hyperlink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2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Столы трансформеры  набор  для работы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12320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73920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Данные столы позволяют изменять конфигурацию пространства в зависимости от вида деятельности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highlight w:val="none"/>
              </w:rPr>
            </w:r>
            <w:hyperlink r:id="rId10" w:tooltip="https://n-72.ru/catalog/vsye_dlya_shkoly/party_i_stulya_shkolnye/transformiruemaya_mebel_dlya_shkoly" w:history="1"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szCs w:val="24"/>
                  <w:highlight w:val="none"/>
                </w:rPr>
                <w:t xml:space="preserve">https://n-72.ru/catalog/vsye_dlya_shkoly/party_i_stulya_shkolnye/transformiruemaya_mebel_dlya_shkoly</w:t>
              </w:r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szCs w:val="24"/>
                  <w:highlight w:val="none"/>
                </w:rPr>
              </w:r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Стулья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5995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35970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Стулья необходимы для обеспечения комфортного и безопасного пребывания участников в помещении центра детских инициатив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11" w:tooltip="https://n-72.ru/catalog/professionalnaya_kukhnya/obedennaya_zona_dlya_obshchepita/stulya_na_metallokarkase/" w:history="1"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  <w:t xml:space="preserve">https://n-72.ru/catalog/professionalnaya_kukhnya/obedennaya_zona_dlya_obshchepita/stulya_na_metallokarkase/ </w:t>
              </w:r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</w:r>
            </w:hyperlink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Стеллаж модульный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64395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64395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беспечивает функциональность и удобство центра, способствует эффективной организации пространства и сохраняет имущество в надлежащем состоянии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12" w:tooltip="https://n-72.ru/catalog/natsionalnye_proekty/professionalitet/mebel_professionalitet/stellazhi_tumby/" w:history="1"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  <w:t xml:space="preserve">https://n-72.ru/catalog/natsionalnye_proekty/professionalitet/mebel_professionalitet/stellazhi_tumby/</w:t>
              </w:r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</w:r>
            </w:hyperlink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13" w:tooltip="https://n-72.ru/catalog/product/mobilnaya_interaktivnaya_panel_edflat_mp_32.html" w:history="1"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  <w:t xml:space="preserve">Мобильная интерактивная панель </w:t>
              </w:r>
            </w:hyperlink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127500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127500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стройство значительно повышает эффективность проведения мероприятий, повышает интерес и вовлеченность участников, а также улучшает качество образовательного процесса в центре.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14" w:tooltip="https://n-72.ru/catalog/product/mobilnaya_interaktivnaya_panel_edflat_mp_32.html" w:history="1"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  <w:t xml:space="preserve">Мобильная интерактивная панель ЭДФЛАТ МП (EDFLAT MP) 32"</w:t>
              </w:r>
            </w:hyperlink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Мфу лазерный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33275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46 049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Данное устройство позволяет существенно облегчить документооборот, ускорить обработку информации и сэкономить ресурсы (электроэнергию, бумагу, тонер).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15" w:tooltip="https://www.wildberries.ru/catalog/239485375/detail.aspx" w:history="1"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u w:val="single"/>
                </w:rPr>
                <w:t xml:space="preserve">МФУ лазерное </w:t>
              </w:r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u w:val="single"/>
                </w:rPr>
                <w:t xml:space="preserve">LaserJet Pro 4103fdw (2Z629A) HP 239485375 купить за 46 049 ₽ в интернет‑магазине Wildberries</w:t>
              </w:r>
            </w:hyperlink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7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Наборы бумаги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400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4000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color w:val="080808"/>
                <w:spacing w:val="-5"/>
                <w:sz w:val="24"/>
                <w:highlight w:val="none"/>
              </w:rPr>
              <w:t xml:space="preserve">И</w:t>
            </w:r>
            <w:r>
              <w:rPr>
                <w:rFonts w:ascii="Arial" w:hAnsi="Arial" w:eastAsia="Arial" w:cs="Arial"/>
                <w:color w:val="080808"/>
                <w:spacing w:val="-5"/>
                <w:sz w:val="24"/>
                <w:highlight w:val="none"/>
              </w:rPr>
              <w:t xml:space="preserve">спользуется для изготовления информационных материалов, рабочих листов, планов мероприятий, памяток, плакатов и другой документации, необходимой для нормального функционирования центра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8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Пуфики 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9235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36940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color w:val="080808"/>
                <w:spacing w:val="-5"/>
                <w:sz w:val="24"/>
                <w:highlight w:val="none"/>
              </w:rPr>
              <w:t xml:space="preserve">целесообразны и необходимы для создания комфортной, привлекательной и функциональной среды в </w:t>
            </w:r>
            <w:r>
              <w:rPr>
                <w:rFonts w:ascii="Arial" w:hAnsi="Arial" w:eastAsia="Arial" w:cs="Arial"/>
                <w:color w:val="080808"/>
                <w:spacing w:val="-5"/>
                <w:sz w:val="24"/>
                <w:highlight w:val="none"/>
              </w:rPr>
              <w:t xml:space="preserve">ЦДИ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highlight w:val="none"/>
              </w:rPr>
            </w:r>
            <w:hyperlink r:id="rId16" w:tooltip="https://n-72.ru/catalog/product/puf_kvadratnyy_s_yashchikom_dlya_igrushek_15294.html" w:history="1"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szCs w:val="24"/>
                  <w:highlight w:val="none"/>
                </w:rPr>
                <w:t xml:space="preserve">https://n-72.ru/catalog/product/puf_kvadratnyy_s_yashchikom_dlya_igrushek_15294.html</w:t>
              </w:r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szCs w:val="24"/>
                  <w:highlight w:val="none"/>
                </w:rPr>
              </w:r>
              <w:r>
                <w:rPr>
                  <w:rStyle w:val="937"/>
                  <w:rFonts w:ascii="Arial" w:hAnsi="Arial" w:eastAsia="Arial" w:cs="Arial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Доска информационная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4735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4735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color w:val="080808"/>
                <w:spacing w:val="-5"/>
                <w:sz w:val="24"/>
                <w:highlight w:val="none"/>
              </w:rPr>
              <w:t xml:space="preserve">Информационная доска позволяет оперативно и наглядно передавать актуальную информацию о мероприятиях, новостях, правилах и расписании занятий.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hyperlink r:id="rId17" w:tooltip="https://n-72.ru/catalog/product/doska_informatsionnaya_probkovaya_1200kh1000_mm_11361.html" w:history="1">
              <w:r>
                <w:rPr>
                  <w:rFonts w:ascii="Arial" w:hAnsi="Arial" w:eastAsia="Arial" w:cs="Arial"/>
                  <w:sz w:val="24"/>
                  <w:szCs w:val="24"/>
                  <w:highlight w:val="none"/>
                </w:rPr>
                <w:t xml:space="preserve">Доска информационная пробковая, 100х120 см: купить для школ и ДОУ с доставкой по всей России</w:t>
              </w:r>
            </w:hyperlink>
            <w:r>
              <w:rPr>
                <w:rFonts w:ascii="Arial" w:hAnsi="Arial" w:eastAsia="Arial" w:cs="Arial"/>
                <w:iCs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iCs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2.3. Дополнительные ресурсы для реализации проекта (финансовые/нефинансовые)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right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Таблица 6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559"/>
        <w:gridCol w:w="2803"/>
      </w:tblGrid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п/п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Наименование ресурса*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Объем привлеченного ресурса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Источник**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Реквизиты подтверждающего документа (при наличии)***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Волонтеры, заинтересованные родители, педагоги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50 ч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МОУ « Средняя общеобразовательная школа № 39»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ДОК «Калевала» (шефы ОУ)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Материальная поддержка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000000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  <w:t xml:space="preserve">ДОК «Калевала» (шефы ОУ)</w:t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360" w:lineRule="auto"/>
              <w:shd w:val="nil" w:color="auto"/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br w:type="page" w:clear="all"/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center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  <w:outlineLvl w:val="0"/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Протокол общего собрания обучающихся 5-11 классов (собрания студентов) образовательной организации по отбору проектов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center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  <w:outlineLvl w:val="0"/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молодежных инициатив в рамках реализации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center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  <w:outlineLvl w:val="0"/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проекта молодежного инициативного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center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  <w:outlineLvl w:val="0"/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бюджетирования в Республике Карелия в 2026 году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МОУ «Средняя общеобразовательная школа № 39» (полное наименование образовательной организации)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Дата: «25»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марта 2026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г.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Место проведения: «МОУ « Средняя общеобразовательная школа № 39»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Время: «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12.00»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Общая численность учащихся 5 - 11 классов (студентов СПО):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536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 чел.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Из них присутствует: 189 чел.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b/>
          <w:bCs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Формат проведения общего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 голосования (далее — голосование) (необходимо указать выбранный формат): очный/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lang w:eastAsia="en-US"/>
        </w:rPr>
        <w:t xml:space="preserve">онлайн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/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lang w:eastAsia="en-US"/>
        </w:rPr>
        <w:t xml:space="preserve">смешанный формат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lang w:eastAsia="en-US"/>
        </w:rPr>
        <w:t xml:space="preserve">.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12" cy="1841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0603467" name=""/>
                        <pic:cNvPicPr/>
                        <pic:nvPr/>
                      </pic:nvPicPr>
                      <pic:blipFill>
                        <a:blip r:embed="rId18"/>
                        <a:srcRect l="-60000" t="-60000" r="-60000" b="-60000"/>
                        <a:stretch/>
                      </pic:blipFill>
                      <pic:spPr bwMode="auto">
                        <a:xfrm>
                          <a:off x="0" y="0"/>
                          <a:ext cx="18411" cy="18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.45pt;height:1.4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ПОВЕСТКА СОБРАНИЯ: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Выбор председателя, секретаря собрания, членов счетной комиссии.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Презентация проектов молодежных инициатив.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Проведение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голосования и подведение итогов.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ОБОБЩЕНИЕ РЕЗУЛЬТАТОВ: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По первому вопросу повестки собрания: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Слушали: Толмачеву Е.А.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ГОЛОСОВАЛИ: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«за» 187 голосов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«против» 0 голосов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«воздержались» 2 голоса 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РЕШИЛИ: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1.1. Избрать председателем собрания (указать Ф.И.О., должность): Багомедову С.Г.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1.2. Избрать секретарем собрания (указать Ф.И. О., должность): Толмачеву Е.А..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1.3. Сформировать счетную комиссию в составе: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ФИО, должность Петрунину С.Е.( завуч по ВР)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ФИО, должность Алешину И.А. , библиотекарь.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По второму вопросу повестки собрания: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Команды образовательной организации провели презентацию проектов молодежных инициатив.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Молодежная команда под руководством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 Чапкина П.В..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Наименование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«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Центр Детских Инициатив «Горизонты возможностей» - пространство для волонтёрского старта»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Цель проекта: </w:t>
      </w:r>
      <w:r>
        <w:rPr>
          <w:rFonts w:ascii="Arial" w:hAnsi="Arial" w:eastAsia="Arial" w:cs="Arial"/>
          <w:color w:val="080808"/>
          <w:spacing w:val="-5"/>
          <w:sz w:val="24"/>
          <w:highlight w:val="none"/>
        </w:rPr>
        <w:t xml:space="preserve">Формирование активной жизненной позиции и развитие социальных навыков у учащихся 5–6 классов через создание открытого пространства для общения, инициатив и волонтерской деятельности в Центре Детских Инициатив «Горизонты возможностей».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Молодежная команда под руководством автора проекта (инициатора)Криволапова Н.Ю..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Наименование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«Центр робототехники «Робомир».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Цель проекта: </w:t>
      </w:r>
      <w:r>
        <w:rPr>
          <w:rFonts w:ascii="Arial" w:hAnsi="Arial" w:eastAsia="Arial" w:cs="Arial"/>
          <w:b w:val="0"/>
          <w:bCs w:val="0"/>
          <w:color w:val="222222"/>
          <w:spacing w:val="-5"/>
          <w:sz w:val="24"/>
          <w:szCs w:val="24"/>
          <w:highlight w:val="none"/>
        </w:rPr>
        <w:t xml:space="preserve">Создание образовательного пространства для детей и подростков, направленного на развитие навыков в области робототехники, программирования и инженерного творчества, а также на популяризацию естественных наук и технологического образования среди молодежи.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lang w:eastAsia="en-US"/>
        </w:rPr>
        <w:t xml:space="preserve">.</w:t>
      </w:r>
      <w:r>
        <w:rPr>
          <w:rFonts w:ascii="Arial" w:hAnsi="Arial" w:cs="Arial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Молодежная команда под руководством автора проекта (инициатора) Шабалина Е.Т. 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Наименование проекта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«Школьный музей в лицах».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Цель проекта:</w:t>
      </w:r>
      <w:r>
        <w:rPr>
          <w:rFonts w:ascii="Arial" w:hAnsi="Arial" w:eastAsia="Arial" w:cs="Arial"/>
          <w:b/>
          <w:color w:val="222222"/>
          <w:spacing w:val="-5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color w:val="222222"/>
          <w:spacing w:val="-5"/>
          <w:sz w:val="24"/>
          <w:szCs w:val="24"/>
          <w:highlight w:val="none"/>
        </w:rPr>
        <w:t xml:space="preserve">Создание музея, отражающего историю школы и судьбы её выпускников, педагогов и ветеранов, с целью воспитания патриотизма, уважения к прошлому и формирования чувства гордости за достижения и традиции образовательного учреждения.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lang w:eastAsia="en-US"/>
        </w:rPr>
        <w:t xml:space="preserve"> .</w:t>
      </w:r>
      <w:r>
        <w:rPr>
          <w:rFonts w:ascii="Arial" w:hAnsi="Arial" w:cs="Arial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По третьему вопросу повестки собрания: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Проведено  голосование.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За проект от молодежной команды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под руководством 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Чапкина П.В.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Проголосовало 99 чел.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За проект от молодежной команды под руководством автора проекта (инициатора) Криволаповой Н.Ю.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Проголосовало 47 чел.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За проект от молодежной команды под руководством автора проекта (инициатора) Шабалиной Е.Т.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Проголосовало 43 чел.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Таким образом, на собрание образовательной организации было представлено 3 проекта, наибольшее количество голосов было получено проектом «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«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Центр Детских Инициатив «Горизонты возможностей» - пространство для волонтёрского старта»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» (наименование проекта) от молодежной команды</w:t>
        <w:tab/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под руководством 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br/>
        <w:t xml:space="preserve">Чапкин П.В.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(Ф.И.О. 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автора проекта (инициатора)</w:t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Председатель собрания образовательной организации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____________________________________                 _____________________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ab/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(Ф.И.О)</w:t>
        <w:tab/>
        <w:t xml:space="preserve">(подпись)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Секретарь собрания образовательной организации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____________________________________                 _____________________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ab/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t xml:space="preserve">(Ф.И.О)</w:t>
        <w:tab/>
        <w:t xml:space="preserve">(подпись)</w:t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000000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sz w:val="24"/>
          <w:szCs w:val="24"/>
          <w:highlight w:val="none"/>
          <w14:ligatures w14:val="none"/>
        </w:rPr>
      </w:r>
      <w:r>
        <w:rPr>
          <w:rFonts w:ascii="Arial" w:hAnsi="Arial" w:eastAsia="Arial" w:cs="Arial"/>
          <w:sz w:val="24"/>
          <w:szCs w:val="24"/>
          <w:highlight w:val="none"/>
          <w:lang w:eastAsia="en-US"/>
        </w:rPr>
        <w:br w:type="page" w:clear="all"/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360" w:lineRule="auto"/>
        <w:shd w:val="nil" w:color="auto"/>
        <w:rPr>
          <w:rFonts w:ascii="Arial" w:hAnsi="Arial" w:cs="Arial"/>
          <w:sz w:val="24"/>
          <w:szCs w:val="24"/>
          <w:highlight w:val="none"/>
          <w14:ligatures w14:val="none"/>
        </w:rPr>
        <w:sectPr>
          <w:footnotePr/>
          <w:endnotePr/>
          <w:type w:val="nextPage"/>
          <w:pgSz w:w="11906" w:h="16838" w:orient="portrait"/>
          <w:pgMar w:top="851" w:right="851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sz w:val="24"/>
          <w:szCs w:val="24"/>
          <w:highlight w:val="none"/>
          <w14:ligatures w14:val="none"/>
        </w:rPr>
      </w:r>
    </w:p>
    <w:p>
      <w:pPr>
        <w:spacing w:after="0" w:afterAutospacing="0" w:line="360" w:lineRule="auto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firstLine="0"/>
        <w:tabs>
          <w:tab w:val="num" w:pos="708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b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b w:val="0"/>
        <w:i w:val="0"/>
        <w: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6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6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  <w:tabs>
          <w:tab w:val="num" w:pos="-501" w:leader="none"/>
        </w:tabs>
      </w:pPr>
      <w:rPr>
        <w:rFonts w:ascii="Symbol" w:hAnsi="Symbol" w:cs="Symbol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pacing w:val="-5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916"/>
    <w:link w:val="914"/>
    <w:uiPriority w:val="99"/>
  </w:style>
  <w:style w:type="paragraph" w:styleId="181">
    <w:name w:val="toc 1"/>
    <w:basedOn w:val="927"/>
    <w:next w:val="9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27"/>
    <w:next w:val="9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27"/>
    <w:next w:val="9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27"/>
    <w:next w:val="9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27"/>
    <w:next w:val="9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27"/>
    <w:next w:val="9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27"/>
    <w:next w:val="9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27"/>
    <w:next w:val="9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27"/>
    <w:next w:val="927"/>
    <w:uiPriority w:val="39"/>
    <w:unhideWhenUsed/>
    <w:pPr>
      <w:ind w:left="2268" w:right="0" w:firstLine="0"/>
      <w:spacing w:after="57"/>
    </w:pPr>
  </w:style>
  <w:style w:type="table" w:styleId="752">
    <w:name w:val="Table Grid"/>
    <w:basedOn w:val="9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7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blStylePr w:type="band1Horz">
      <w:tcPr>
        <w:shd w:val="clear" w:color="ffffff" w:themeColor="accent1" w:themeTint="75" w:fill="b4d1ec" w:themeFill="accent1" w:themeFillTint="75"/>
      </w:tcPr>
    </w:tblStylePr>
    <w:tblStylePr w:type="band1Vert">
      <w:tcPr>
        <w:shd w:val="clear" w:color="ffffff" w:themeColor="accent1" w:themeTint="75" w:fill="b4d1ec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blStylePr w:type="band1Horz">
      <w:tcPr>
        <w:shd w:val="clear" w:color="ffffff" w:themeColor="accent2" w:themeTint="75" w:fill="f7c3a0" w:themeFill="accent2" w:themeFillTint="75"/>
      </w:tcPr>
    </w:tblStylePr>
    <w:tblStylePr w:type="band1Vert">
      <w:tcPr>
        <w:shd w:val="clear" w:color="ffffff" w:themeColor="accent2" w:themeTint="75" w:fill="f7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blStylePr w:type="band1Horz">
      <w:tcPr>
        <w:shd w:val="clear" w:color="ffffff" w:themeColor="accent4" w:themeTint="75" w:fill="ffe28a" w:themeFill="accent4" w:themeFillTint="75"/>
      </w:tcPr>
    </w:tblStylePr>
    <w:tblStylePr w:type="band1Vert">
      <w:tcPr>
        <w:shd w:val="clear" w:color="ffffff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blStylePr w:type="band1Horz">
      <w:tcPr>
        <w:shd w:val="clear" w:color="ffffff" w:themeColor="accent5" w:themeTint="75" w:fill="a9bee4" w:themeFill="accent5" w:themeFillTint="75"/>
      </w:tcPr>
    </w:tblStylePr>
    <w:tblStylePr w:type="band1Vert">
      <w:tcPr>
        <w:shd w:val="clear" w:color="ffffff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blStylePr w:type="band1Horz">
      <w:tcPr>
        <w:shd w:val="clear" w:color="ffffff" w:themeColor="accent6" w:themeTint="75" w:fill="bddba8" w:themeFill="accent6" w:themeFillTint="75"/>
      </w:tcPr>
    </w:tblStylePr>
    <w:tblStylePr w:type="band1Vert">
      <w:tcPr>
        <w:shd w:val="clear" w:color="ffffff" w:themeColor="accent6" w:themeTint="75" w:fill="bd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tcPr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07abd" w:themeColor="accent1" w:themeTint="80" w:themeShade="95"/>
      </w:rPr>
    </w:tblStylePr>
    <w:tblStylePr w:type="firstRow">
      <w:rPr>
        <w:b/>
        <w:color w:val="307abd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</w:tblStylePr>
    <w:tblStylePr w:type="lastRow">
      <w:rPr>
        <w:b/>
        <w:color w:val="307abd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tcPr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07abd" w:themeColor="accent1" w:themeTint="80" w:themeShade="95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tcPr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275" w:themeColor="accent5" w:themeShade="95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tcPr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16529" w:themeColor="accent6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blStylePr w:type="band1Horz"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blStylePr w:type="band1Horz"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blStylePr w:type="band1Horz"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blStylePr w:type="band1Horz"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ba0" w:themeColor="accent5" w:themeTint="9A" w:themeShade="95"/>
      </w:rPr>
    </w:tblStylePr>
    <w:tblStylePr w:type="firstRow">
      <w:rPr>
        <w:b/>
        <w:color w:val="335b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</w:tblStylePr>
    <w:tblStylePr w:type="lastRow">
      <w:rPr>
        <w:b/>
        <w:color w:val="335b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e923c" w:themeColor="accent6" w:themeTint="98" w:themeShade="95"/>
      </w:rPr>
    </w:tblStylePr>
    <w:tblStylePr w:type="firstRow">
      <w:rPr>
        <w:b/>
        <w:color w:val="5e92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</w:tblStylePr>
    <w:tblStylePr w:type="lastRow">
      <w:rPr>
        <w:b/>
        <w:color w:val="5e92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b8d" w:themeColor="accent1" w:themeShade="95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styleId="852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</w:tblStylePr>
  </w:style>
  <w:style w:type="table" w:styleId="853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</w:tblStylePr>
  </w:style>
  <w:style w:type="table" w:styleId="855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ba0" w:themeColor="accent5" w:themeTint="9A" w:themeShade="95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</w:tblStylePr>
  </w:style>
  <w:style w:type="table" w:styleId="856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e923c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</w:tblStylePr>
  </w:style>
  <w:style w:type="table" w:styleId="857">
    <w:name w:val="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</w:style>
  <w:style w:type="table" w:styleId="859">
    <w:name w:val="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860">
    <w:name w:val="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862">
    <w:name w:val="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</w:style>
  <w:style w:type="table" w:styleId="866">
    <w:name w:val="Bordered &amp; 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867">
    <w:name w:val="Bordered &amp; 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869">
    <w:name w:val="Bordered &amp; 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Heading 1"/>
    <w:basedOn w:val="927"/>
    <w:next w:val="927"/>
    <w:link w:val="888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9">
    <w:name w:val="Heading 2"/>
    <w:basedOn w:val="927"/>
    <w:next w:val="927"/>
    <w:link w:val="889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0">
    <w:name w:val="Heading 3"/>
    <w:basedOn w:val="927"/>
    <w:next w:val="927"/>
    <w:link w:val="890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1">
    <w:name w:val="Heading 4"/>
    <w:basedOn w:val="927"/>
    <w:next w:val="927"/>
    <w:link w:val="891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2">
    <w:name w:val="Heading 5"/>
    <w:basedOn w:val="927"/>
    <w:next w:val="927"/>
    <w:link w:val="892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3">
    <w:name w:val="Heading 6"/>
    <w:basedOn w:val="927"/>
    <w:next w:val="927"/>
    <w:link w:val="893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4">
    <w:name w:val="Heading 7"/>
    <w:basedOn w:val="927"/>
    <w:next w:val="927"/>
    <w:link w:val="894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5">
    <w:name w:val="Heading 8"/>
    <w:basedOn w:val="927"/>
    <w:next w:val="927"/>
    <w:link w:val="895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Heading 9"/>
    <w:basedOn w:val="927"/>
    <w:next w:val="927"/>
    <w:link w:val="896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7" w:default="1">
    <w:name w:val="Default Paragraph Font"/>
    <w:uiPriority w:val="1"/>
    <w:semiHidden/>
    <w:unhideWhenUsed/>
  </w:style>
  <w:style w:type="character" w:styleId="888">
    <w:name w:val="Heading 1 Char"/>
    <w:basedOn w:val="887"/>
    <w:link w:val="878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9">
    <w:name w:val="Heading 2 Char"/>
    <w:basedOn w:val="887"/>
    <w:link w:val="879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0">
    <w:name w:val="Heading 3 Char"/>
    <w:basedOn w:val="887"/>
    <w:link w:val="880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1">
    <w:name w:val="Heading 4 Char"/>
    <w:basedOn w:val="887"/>
    <w:link w:val="881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92">
    <w:name w:val="Heading 5 Char"/>
    <w:basedOn w:val="887"/>
    <w:link w:val="882"/>
    <w:uiPriority w:val="9"/>
    <w:rPr>
      <w:rFonts w:ascii="Arial" w:hAnsi="Arial" w:eastAsia="Arial" w:cs="Arial"/>
      <w:color w:val="0f4761" w:themeColor="accent1" w:themeShade="BF"/>
    </w:rPr>
  </w:style>
  <w:style w:type="character" w:styleId="893">
    <w:name w:val="Heading 6 Char"/>
    <w:basedOn w:val="887"/>
    <w:link w:val="883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94">
    <w:name w:val="Heading 7 Char"/>
    <w:basedOn w:val="887"/>
    <w:link w:val="884"/>
    <w:uiPriority w:val="9"/>
    <w:rPr>
      <w:rFonts w:ascii="Arial" w:hAnsi="Arial" w:eastAsia="Arial" w:cs="Arial"/>
      <w:color w:val="595959" w:themeColor="text1" w:themeTint="A6"/>
    </w:rPr>
  </w:style>
  <w:style w:type="character" w:styleId="895">
    <w:name w:val="Heading 8 Char"/>
    <w:basedOn w:val="887"/>
    <w:link w:val="885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9 Char"/>
    <w:basedOn w:val="887"/>
    <w:link w:val="886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97">
    <w:name w:val="Title"/>
    <w:basedOn w:val="927"/>
    <w:next w:val="927"/>
    <w:link w:val="898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98">
    <w:name w:val="Title Char"/>
    <w:basedOn w:val="887"/>
    <w:link w:val="897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99">
    <w:name w:val="Subtitle"/>
    <w:basedOn w:val="927"/>
    <w:next w:val="927"/>
    <w:link w:val="900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900">
    <w:name w:val="Subtitle Char"/>
    <w:basedOn w:val="887"/>
    <w:link w:val="899"/>
    <w:uiPriority w:val="11"/>
    <w:rPr>
      <w:color w:val="595959" w:themeColor="text1" w:themeTint="A6"/>
      <w:spacing w:val="15"/>
      <w:sz w:val="28"/>
      <w:szCs w:val="28"/>
    </w:rPr>
  </w:style>
  <w:style w:type="paragraph" w:styleId="901">
    <w:name w:val="Quote"/>
    <w:basedOn w:val="927"/>
    <w:next w:val="927"/>
    <w:link w:val="90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02">
    <w:name w:val="Quote Char"/>
    <w:basedOn w:val="887"/>
    <w:link w:val="901"/>
    <w:uiPriority w:val="29"/>
    <w:rPr>
      <w:i/>
      <w:iCs/>
      <w:color w:val="404040" w:themeColor="text1" w:themeTint="BF"/>
    </w:rPr>
  </w:style>
  <w:style w:type="character" w:styleId="903">
    <w:name w:val="Intense Emphasis"/>
    <w:basedOn w:val="887"/>
    <w:uiPriority w:val="21"/>
    <w:qFormat/>
    <w:rPr>
      <w:i/>
      <w:iCs/>
      <w:color w:val="0f4761" w:themeColor="accent1" w:themeShade="BF"/>
    </w:rPr>
  </w:style>
  <w:style w:type="paragraph" w:styleId="904">
    <w:name w:val="Intense Quote"/>
    <w:basedOn w:val="927"/>
    <w:next w:val="927"/>
    <w:link w:val="905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05">
    <w:name w:val="Intense Quote Char"/>
    <w:basedOn w:val="887"/>
    <w:link w:val="904"/>
    <w:uiPriority w:val="30"/>
    <w:rPr>
      <w:i/>
      <w:iCs/>
      <w:color w:val="0f4761" w:themeColor="accent1" w:themeShade="BF"/>
    </w:rPr>
  </w:style>
  <w:style w:type="character" w:styleId="906">
    <w:name w:val="Intense Reference"/>
    <w:basedOn w:val="88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907">
    <w:name w:val="Subtle Emphasis"/>
    <w:basedOn w:val="887"/>
    <w:uiPriority w:val="19"/>
    <w:qFormat/>
    <w:rPr>
      <w:i/>
      <w:iCs/>
      <w:color w:val="404040" w:themeColor="text1" w:themeTint="BF"/>
    </w:rPr>
  </w:style>
  <w:style w:type="character" w:styleId="908">
    <w:name w:val="Emphasis"/>
    <w:basedOn w:val="887"/>
    <w:uiPriority w:val="20"/>
    <w:qFormat/>
    <w:rPr>
      <w:i/>
      <w:iCs/>
    </w:rPr>
  </w:style>
  <w:style w:type="character" w:styleId="909">
    <w:name w:val="Strong"/>
    <w:basedOn w:val="887"/>
    <w:uiPriority w:val="22"/>
    <w:qFormat/>
    <w:rPr>
      <w:b/>
      <w:bCs/>
    </w:rPr>
  </w:style>
  <w:style w:type="character" w:styleId="910">
    <w:name w:val="Subtle Reference"/>
    <w:basedOn w:val="887"/>
    <w:uiPriority w:val="31"/>
    <w:qFormat/>
    <w:rPr>
      <w:smallCaps/>
      <w:color w:val="5a5a5a" w:themeColor="text1" w:themeTint="A5"/>
    </w:rPr>
  </w:style>
  <w:style w:type="character" w:styleId="911">
    <w:name w:val="Book Title"/>
    <w:basedOn w:val="887"/>
    <w:uiPriority w:val="33"/>
    <w:qFormat/>
    <w:rPr>
      <w:b/>
      <w:bCs/>
      <w:i/>
      <w:iCs/>
      <w:spacing w:val="5"/>
    </w:rPr>
  </w:style>
  <w:style w:type="paragraph" w:styleId="912">
    <w:name w:val="Header"/>
    <w:basedOn w:val="927"/>
    <w:link w:val="91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13">
    <w:name w:val="Header Char"/>
    <w:basedOn w:val="887"/>
    <w:link w:val="912"/>
    <w:uiPriority w:val="99"/>
  </w:style>
  <w:style w:type="paragraph" w:styleId="914">
    <w:name w:val="Footer"/>
    <w:basedOn w:val="927"/>
    <w:link w:val="915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15">
    <w:name w:val="Footer Char"/>
    <w:basedOn w:val="887"/>
    <w:link w:val="914"/>
    <w:uiPriority w:val="99"/>
  </w:style>
  <w:style w:type="paragraph" w:styleId="916">
    <w:name w:val="Caption"/>
    <w:basedOn w:val="927"/>
    <w:next w:val="927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27"/>
    <w:link w:val="91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8">
    <w:name w:val="Footnote Text Char"/>
    <w:basedOn w:val="887"/>
    <w:link w:val="917"/>
    <w:uiPriority w:val="99"/>
    <w:semiHidden/>
    <w:rPr>
      <w:sz w:val="20"/>
      <w:szCs w:val="20"/>
    </w:rPr>
  </w:style>
  <w:style w:type="character" w:styleId="919">
    <w:name w:val="footnote reference"/>
    <w:basedOn w:val="887"/>
    <w:uiPriority w:val="99"/>
    <w:semiHidden/>
    <w:unhideWhenUsed/>
    <w:rPr>
      <w:vertAlign w:val="superscript"/>
    </w:rPr>
  </w:style>
  <w:style w:type="paragraph" w:styleId="920">
    <w:name w:val="endnote text"/>
    <w:basedOn w:val="927"/>
    <w:link w:val="9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1">
    <w:name w:val="Endnote Text Char"/>
    <w:basedOn w:val="887"/>
    <w:link w:val="920"/>
    <w:uiPriority w:val="99"/>
    <w:semiHidden/>
    <w:rPr>
      <w:sz w:val="20"/>
      <w:szCs w:val="20"/>
    </w:rPr>
  </w:style>
  <w:style w:type="character" w:styleId="922">
    <w:name w:val="endnote reference"/>
    <w:basedOn w:val="887"/>
    <w:uiPriority w:val="99"/>
    <w:semiHidden/>
    <w:unhideWhenUsed/>
    <w:rPr>
      <w:vertAlign w:val="superscript"/>
    </w:rPr>
  </w:style>
  <w:style w:type="character" w:styleId="923">
    <w:name w:val="Hyperlink"/>
    <w:basedOn w:val="887"/>
    <w:uiPriority w:val="99"/>
    <w:unhideWhenUsed/>
    <w:rPr>
      <w:color w:val="0563c1" w:themeColor="hyperlink"/>
      <w:u w:val="single"/>
    </w:rPr>
  </w:style>
  <w:style w:type="character" w:styleId="924">
    <w:name w:val="FollowedHyperlink"/>
    <w:basedOn w:val="887"/>
    <w:uiPriority w:val="99"/>
    <w:semiHidden/>
    <w:unhideWhenUsed/>
    <w:rPr>
      <w:color w:val="954f72" w:themeColor="followedHyperlink"/>
      <w:u w:val="single"/>
    </w:rPr>
  </w:style>
  <w:style w:type="paragraph" w:styleId="925">
    <w:name w:val="TOC Heading"/>
    <w:uiPriority w:val="39"/>
    <w:unhideWhenUsed/>
  </w:style>
  <w:style w:type="paragraph" w:styleId="926">
    <w:name w:val="table of figures"/>
    <w:basedOn w:val="927"/>
    <w:next w:val="927"/>
    <w:uiPriority w:val="99"/>
    <w:unhideWhenUsed/>
    <w:pPr>
      <w:spacing w:after="0" w:afterAutospacing="0"/>
    </w:pPr>
  </w:style>
  <w:style w:type="paragraph" w:styleId="927" w:default="1">
    <w:name w:val="Normal"/>
    <w:qFormat/>
  </w:style>
  <w:style w:type="table" w:styleId="9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9" w:default="1">
    <w:name w:val="No List"/>
    <w:uiPriority w:val="99"/>
    <w:semiHidden/>
    <w:unhideWhenUsed/>
  </w:style>
  <w:style w:type="paragraph" w:styleId="930">
    <w:name w:val="No Spacing"/>
    <w:basedOn w:val="927"/>
    <w:uiPriority w:val="1"/>
    <w:qFormat/>
    <w:pPr>
      <w:spacing w:after="0" w:line="240" w:lineRule="auto"/>
    </w:pPr>
  </w:style>
  <w:style w:type="paragraph" w:styleId="931">
    <w:name w:val="List Paragraph"/>
    <w:basedOn w:val="927"/>
    <w:uiPriority w:val="34"/>
    <w:qFormat/>
    <w:pPr>
      <w:contextualSpacing/>
      <w:ind w:left="720"/>
    </w:pPr>
  </w:style>
  <w:style w:type="paragraph" w:styleId="932" w:customStyle="1">
    <w:name w:val="Текст сноски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933" w:customStyle="1">
    <w:name w:val="Знак сноски"/>
    <w:uiPriority w:val="99"/>
    <w:semiHidden/>
    <w:unhideWhenUsed/>
    <w:rPr>
      <w:vertAlign w:val="superscript"/>
    </w:rPr>
  </w:style>
  <w:style w:type="paragraph" w:styleId="93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5" w:customStyle="1">
    <w:name w:val="Абзац списка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937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-72.ru/catalog/vsye_dlya_shkoly/osnashchenie_uchitelskoy/divany_i_pufy_v_uchitelskuyu/?PAGEN_1=2" TargetMode="External"/><Relationship Id="rId10" Type="http://schemas.openxmlformats.org/officeDocument/2006/relationships/hyperlink" Target="https://n-72.ru/catalog/vsye_dlya_shkoly/party_i_stulya_shkolnye/transformiruemaya_mebel_dlya_shkoly" TargetMode="External"/><Relationship Id="rId11" Type="http://schemas.openxmlformats.org/officeDocument/2006/relationships/hyperlink" Target="https://n-72.ru/catalog/professionalnaya_kukhnya/obedennaya_zona_dlya_obshchepita/stulya_na_metallokarkase/" TargetMode="External"/><Relationship Id="rId12" Type="http://schemas.openxmlformats.org/officeDocument/2006/relationships/hyperlink" Target="https://n-72.ru/catalog/natsionalnye_proekty/professionalitet/mebel_professionalitet/stellazhi_tumby/" TargetMode="External"/><Relationship Id="rId13" Type="http://schemas.openxmlformats.org/officeDocument/2006/relationships/hyperlink" Target="https://n-72.ru/catalog/product/mobilnaya_interaktivnaya_panel_edflat_mp_32.html" TargetMode="External"/><Relationship Id="rId14" Type="http://schemas.openxmlformats.org/officeDocument/2006/relationships/hyperlink" Target="https://n-72.ru/catalog/product/mobilnaya_interaktivnaya_panel_edflat_mp_32.html" TargetMode="External"/><Relationship Id="rId15" Type="http://schemas.openxmlformats.org/officeDocument/2006/relationships/hyperlink" Target="https://www.wildberries.ru/catalog/239485375/detail.aspx" TargetMode="External"/><Relationship Id="rId16" Type="http://schemas.openxmlformats.org/officeDocument/2006/relationships/hyperlink" Target="https://n-72.ru/catalog/product/puf_kvadratnyy_s_yashchikom_dlya_igrushek_15294.html" TargetMode="External"/><Relationship Id="rId17" Type="http://schemas.openxmlformats.org/officeDocument/2006/relationships/hyperlink" Target="https://n-72.ru/catalog/product/doska_informatsionnaya_probkovaya_1200kh1000_mm_11361.html" TargetMode="External"/><Relationship Id="rId1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21</cp:revision>
  <dcterms:modified xsi:type="dcterms:W3CDTF">2026-03-31T09:47:12Z</dcterms:modified>
</cp:coreProperties>
</file>