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4558" w:rsidRDefault="0095589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Государственное бюджетное учреждение здравоохранения города Москвы «Научно-практический клинический центр диагностики и телемедицинских технологий Департамента здравоохранения города Москвы» </w:t>
      </w:r>
    </w:p>
    <w:p w:rsidR="00BD4558" w:rsidRDefault="0095589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(ГБУЗ «НПКЦ ДиТ ДЗМ»)</w:t>
      </w:r>
    </w:p>
    <w:p w:rsidR="00BD4558" w:rsidRDefault="00BD455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4558" w:rsidRDefault="0095589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4C2179">
        <w:rPr>
          <w:rFonts w:ascii="Times New Roman" w:hAnsi="Times New Roman" w:cs="Times New Roman"/>
          <w:sz w:val="28"/>
          <w:szCs w:val="28"/>
        </w:rPr>
        <w:t xml:space="preserve">мелянская О.В., </w:t>
      </w:r>
      <w:r w:rsidR="00CB670A">
        <w:rPr>
          <w:rFonts w:ascii="Times New Roman" w:hAnsi="Times New Roman" w:cs="Times New Roman"/>
          <w:sz w:val="28"/>
          <w:szCs w:val="28"/>
        </w:rPr>
        <w:t>Владзимирский А.В.,</w:t>
      </w:r>
      <w:r w:rsidR="00CB670A">
        <w:rPr>
          <w:rFonts w:ascii="Times New Roman" w:hAnsi="Times New Roman" w:cs="Times New Roman"/>
          <w:sz w:val="28"/>
          <w:szCs w:val="28"/>
        </w:rPr>
        <w:t xml:space="preserve"> </w:t>
      </w:r>
      <w:r w:rsidR="004C2179">
        <w:rPr>
          <w:rFonts w:ascii="Times New Roman" w:hAnsi="Times New Roman" w:cs="Times New Roman"/>
          <w:sz w:val="28"/>
          <w:szCs w:val="28"/>
        </w:rPr>
        <w:t xml:space="preserve">Арзамасов К.М., </w:t>
      </w:r>
      <w:r w:rsidR="00483AEA">
        <w:rPr>
          <w:rFonts w:ascii="Times New Roman" w:hAnsi="Times New Roman" w:cs="Times New Roman"/>
          <w:sz w:val="28"/>
          <w:szCs w:val="28"/>
        </w:rPr>
        <w:t xml:space="preserve">Решетников Р.В., </w:t>
      </w:r>
      <w:r>
        <w:rPr>
          <w:rFonts w:ascii="Times New Roman" w:hAnsi="Times New Roman" w:cs="Times New Roman"/>
          <w:sz w:val="28"/>
          <w:szCs w:val="28"/>
        </w:rPr>
        <w:t xml:space="preserve">Воронина А.А. </w:t>
      </w:r>
    </w:p>
    <w:p w:rsidR="00BD4558" w:rsidRDefault="00BD455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4558" w:rsidRDefault="00BD455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4558" w:rsidRDefault="009558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Проектная работа по теме: «Инновационная модель наставничества в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научном медицинском учреждении: путь к эффективному развитию кадрового потенциала».</w:t>
      </w:r>
    </w:p>
    <w:p w:rsidR="00BD4558" w:rsidRDefault="009558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Номинация: </w:t>
      </w:r>
      <w:r>
        <w:rPr>
          <w:rFonts w:ascii="Times New Roman" w:hAnsi="Times New Roman" w:cs="Times New Roman"/>
          <w:sz w:val="28"/>
          <w:szCs w:val="28"/>
        </w:rPr>
        <w:t xml:space="preserve">«Наставничество в социальной сфере и общественной деятельности». </w:t>
      </w:r>
    </w:p>
    <w:p w:rsidR="00BD4558" w:rsidRDefault="00BD45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4558" w:rsidRDefault="00BD455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D4558" w:rsidRDefault="00BD4558">
      <w:pPr>
        <w:tabs>
          <w:tab w:val="left" w:pos="126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D4558" w:rsidRDefault="00BD4558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D4558" w:rsidRDefault="00BD4558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D4558" w:rsidRDefault="00BD4558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D4558" w:rsidRDefault="00BD4558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D4558" w:rsidRDefault="00BD4558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74BF4" w:rsidRDefault="00774BF4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2020F" w:rsidRDefault="00D2020F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D4558" w:rsidRDefault="00BD4558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D4558" w:rsidRDefault="0095589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sdt>
      <w:sdtPr>
        <w:id w:val="-1542355230"/>
        <w:docPartObj>
          <w:docPartGallery w:val="Table of Contents"/>
          <w:docPartUnique/>
        </w:docPartObj>
      </w:sdtPr>
      <w:sdtEndPr/>
      <w:sdtContent>
        <w:p w:rsidR="00BD4558" w:rsidRDefault="00BD4558">
          <w:pPr>
            <w:spacing w:after="0" w:line="360" w:lineRule="auto"/>
            <w:jc w:val="center"/>
          </w:pPr>
        </w:p>
        <w:p w:rsidR="00BD4558" w:rsidRDefault="00955898">
          <w:pPr>
            <w:pStyle w:val="12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  <w14:ligatures w14:val="none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210834342" w:tooltip="#_Toc210834342" w:history="1">
            <w:r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instrText xml:space="preserve"> PAGEREF _Toc210834342 \h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fldChar w:fldCharType="separate"/>
            </w:r>
            <w:r w:rsidR="00B12359">
              <w:rPr>
                <w:rFonts w:ascii="Times New Roman" w:hAnsi="Times New Roman" w:cs="Times New Roman"/>
                <w:noProof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fldChar w:fldCharType="end"/>
            </w:r>
          </w:hyperlink>
        </w:p>
        <w:p w:rsidR="00BD4558" w:rsidRDefault="001E2FBA">
          <w:pPr>
            <w:pStyle w:val="12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  <w14:ligatures w14:val="none"/>
            </w:rPr>
          </w:pPr>
          <w:hyperlink w:anchor="_Toc210834343" w:tooltip="#_Toc210834343" w:history="1">
            <w:r w:rsidR="00955898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1. Концепция и уникальность нашей практики наставничества в контексте Национальных приоритетов</w:t>
            </w:r>
            <w:r w:rsidR="00955898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955898">
              <w:rPr>
                <w:rFonts w:ascii="Times New Roman" w:hAnsi="Times New Roman" w:cs="Times New Roman"/>
                <w:noProof/>
                <w:sz w:val="28"/>
                <w:szCs w:val="28"/>
              </w:rPr>
              <w:fldChar w:fldCharType="begin"/>
            </w:r>
            <w:r w:rsidR="00955898">
              <w:rPr>
                <w:rFonts w:ascii="Times New Roman" w:hAnsi="Times New Roman" w:cs="Times New Roman"/>
                <w:noProof/>
                <w:sz w:val="28"/>
                <w:szCs w:val="28"/>
              </w:rPr>
              <w:instrText xml:space="preserve"> PAGEREF _Toc210834343 \h </w:instrText>
            </w:r>
            <w:r w:rsidR="00955898">
              <w:rPr>
                <w:rFonts w:ascii="Times New Roman" w:hAnsi="Times New Roman" w:cs="Times New Roman"/>
                <w:noProof/>
                <w:sz w:val="28"/>
                <w:szCs w:val="28"/>
              </w:rPr>
            </w:r>
            <w:r w:rsidR="00955898">
              <w:rPr>
                <w:rFonts w:ascii="Times New Roman" w:hAnsi="Times New Roman" w:cs="Times New Roman"/>
                <w:noProof/>
                <w:sz w:val="28"/>
                <w:szCs w:val="28"/>
              </w:rPr>
              <w:fldChar w:fldCharType="separate"/>
            </w:r>
            <w:r w:rsidR="00B12359">
              <w:rPr>
                <w:rFonts w:ascii="Times New Roman" w:hAnsi="Times New Roman" w:cs="Times New Roman"/>
                <w:noProof/>
                <w:sz w:val="28"/>
                <w:szCs w:val="28"/>
              </w:rPr>
              <w:t>6</w:t>
            </w:r>
            <w:r w:rsidR="00955898">
              <w:rPr>
                <w:rFonts w:ascii="Times New Roman" w:hAnsi="Times New Roman" w:cs="Times New Roman"/>
                <w:noProof/>
                <w:sz w:val="28"/>
                <w:szCs w:val="28"/>
              </w:rPr>
              <w:fldChar w:fldCharType="end"/>
            </w:r>
          </w:hyperlink>
        </w:p>
        <w:p w:rsidR="00BD4558" w:rsidRDefault="001E2FBA">
          <w:pPr>
            <w:pStyle w:val="12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  <w14:ligatures w14:val="none"/>
            </w:rPr>
          </w:pPr>
          <w:hyperlink w:anchor="_Toc210834344" w:tooltip="#_Toc210834344" w:history="1">
            <w:r w:rsidR="00955898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2. Механизмы реализации и тиражируемость практики наставничества</w:t>
            </w:r>
            <w:r w:rsidR="00955898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955898">
              <w:rPr>
                <w:rFonts w:ascii="Times New Roman" w:hAnsi="Times New Roman" w:cs="Times New Roman"/>
                <w:noProof/>
                <w:sz w:val="28"/>
                <w:szCs w:val="28"/>
              </w:rPr>
              <w:fldChar w:fldCharType="begin"/>
            </w:r>
            <w:r w:rsidR="00955898">
              <w:rPr>
                <w:rFonts w:ascii="Times New Roman" w:hAnsi="Times New Roman" w:cs="Times New Roman"/>
                <w:noProof/>
                <w:sz w:val="28"/>
                <w:szCs w:val="28"/>
              </w:rPr>
              <w:instrText xml:space="preserve"> PAGEREF _Toc210834344 \h </w:instrText>
            </w:r>
            <w:r w:rsidR="00955898">
              <w:rPr>
                <w:rFonts w:ascii="Times New Roman" w:hAnsi="Times New Roman" w:cs="Times New Roman"/>
                <w:noProof/>
                <w:sz w:val="28"/>
                <w:szCs w:val="28"/>
              </w:rPr>
            </w:r>
            <w:r w:rsidR="00955898">
              <w:rPr>
                <w:rFonts w:ascii="Times New Roman" w:hAnsi="Times New Roman" w:cs="Times New Roman"/>
                <w:noProof/>
                <w:sz w:val="28"/>
                <w:szCs w:val="28"/>
              </w:rPr>
              <w:fldChar w:fldCharType="separate"/>
            </w:r>
            <w:r w:rsidR="00B12359">
              <w:rPr>
                <w:rFonts w:ascii="Times New Roman" w:hAnsi="Times New Roman" w:cs="Times New Roman"/>
                <w:noProof/>
                <w:sz w:val="28"/>
                <w:szCs w:val="28"/>
              </w:rPr>
              <w:t>12</w:t>
            </w:r>
            <w:r w:rsidR="00955898">
              <w:rPr>
                <w:rFonts w:ascii="Times New Roman" w:hAnsi="Times New Roman" w:cs="Times New Roman"/>
                <w:noProof/>
                <w:sz w:val="28"/>
                <w:szCs w:val="28"/>
              </w:rPr>
              <w:fldChar w:fldCharType="end"/>
            </w:r>
          </w:hyperlink>
        </w:p>
        <w:p w:rsidR="00BD4558" w:rsidRDefault="001E2FBA">
          <w:pPr>
            <w:pStyle w:val="12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  <w14:ligatures w14:val="none"/>
            </w:rPr>
          </w:pPr>
          <w:hyperlink w:anchor="_Toc210834345" w:tooltip="#_Toc210834345" w:history="1">
            <w:r w:rsidR="00955898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3. Результативность и эффективность практики наставничества</w:t>
            </w:r>
            <w:r w:rsidR="00955898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955898">
              <w:rPr>
                <w:rFonts w:ascii="Times New Roman" w:hAnsi="Times New Roman" w:cs="Times New Roman"/>
                <w:noProof/>
                <w:sz w:val="28"/>
                <w:szCs w:val="28"/>
              </w:rPr>
              <w:fldChar w:fldCharType="begin"/>
            </w:r>
            <w:r w:rsidR="00955898">
              <w:rPr>
                <w:rFonts w:ascii="Times New Roman" w:hAnsi="Times New Roman" w:cs="Times New Roman"/>
                <w:noProof/>
                <w:sz w:val="28"/>
                <w:szCs w:val="28"/>
              </w:rPr>
              <w:instrText xml:space="preserve"> PAGEREF _Toc210834345 \h </w:instrText>
            </w:r>
            <w:r w:rsidR="00955898">
              <w:rPr>
                <w:rFonts w:ascii="Times New Roman" w:hAnsi="Times New Roman" w:cs="Times New Roman"/>
                <w:noProof/>
                <w:sz w:val="28"/>
                <w:szCs w:val="28"/>
              </w:rPr>
            </w:r>
            <w:r w:rsidR="00955898">
              <w:rPr>
                <w:rFonts w:ascii="Times New Roman" w:hAnsi="Times New Roman" w:cs="Times New Roman"/>
                <w:noProof/>
                <w:sz w:val="28"/>
                <w:szCs w:val="28"/>
              </w:rPr>
              <w:fldChar w:fldCharType="separate"/>
            </w:r>
            <w:r w:rsidR="00B12359">
              <w:rPr>
                <w:rFonts w:ascii="Times New Roman" w:hAnsi="Times New Roman" w:cs="Times New Roman"/>
                <w:noProof/>
                <w:sz w:val="28"/>
                <w:szCs w:val="28"/>
              </w:rPr>
              <w:t>14</w:t>
            </w:r>
            <w:r w:rsidR="00955898">
              <w:rPr>
                <w:rFonts w:ascii="Times New Roman" w:hAnsi="Times New Roman" w:cs="Times New Roman"/>
                <w:noProof/>
                <w:sz w:val="28"/>
                <w:szCs w:val="28"/>
              </w:rPr>
              <w:fldChar w:fldCharType="end"/>
            </w:r>
          </w:hyperlink>
        </w:p>
        <w:p w:rsidR="00BD4558" w:rsidRDefault="001E2FBA">
          <w:pPr>
            <w:pStyle w:val="12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  <w14:ligatures w14:val="none"/>
            </w:rPr>
          </w:pPr>
          <w:hyperlink w:anchor="_Toc210834346" w:tooltip="#_Toc210834346" w:history="1">
            <w:r w:rsidR="00955898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955898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955898">
              <w:rPr>
                <w:rFonts w:ascii="Times New Roman" w:hAnsi="Times New Roman" w:cs="Times New Roman"/>
                <w:noProof/>
                <w:sz w:val="28"/>
                <w:szCs w:val="28"/>
              </w:rPr>
              <w:fldChar w:fldCharType="begin"/>
            </w:r>
            <w:r w:rsidR="00955898">
              <w:rPr>
                <w:rFonts w:ascii="Times New Roman" w:hAnsi="Times New Roman" w:cs="Times New Roman"/>
                <w:noProof/>
                <w:sz w:val="28"/>
                <w:szCs w:val="28"/>
              </w:rPr>
              <w:instrText xml:space="preserve"> PAGEREF _Toc210834346 \h </w:instrText>
            </w:r>
            <w:r w:rsidR="00955898">
              <w:rPr>
                <w:rFonts w:ascii="Times New Roman" w:hAnsi="Times New Roman" w:cs="Times New Roman"/>
                <w:noProof/>
                <w:sz w:val="28"/>
                <w:szCs w:val="28"/>
              </w:rPr>
            </w:r>
            <w:r w:rsidR="00955898">
              <w:rPr>
                <w:rFonts w:ascii="Times New Roman" w:hAnsi="Times New Roman" w:cs="Times New Roman"/>
                <w:noProof/>
                <w:sz w:val="28"/>
                <w:szCs w:val="28"/>
              </w:rPr>
              <w:fldChar w:fldCharType="separate"/>
            </w:r>
            <w:r w:rsidR="00B12359">
              <w:rPr>
                <w:rFonts w:ascii="Times New Roman" w:hAnsi="Times New Roman" w:cs="Times New Roman"/>
                <w:noProof/>
                <w:sz w:val="28"/>
                <w:szCs w:val="28"/>
              </w:rPr>
              <w:t>17</w:t>
            </w:r>
            <w:r w:rsidR="00955898">
              <w:rPr>
                <w:rFonts w:ascii="Times New Roman" w:hAnsi="Times New Roman" w:cs="Times New Roman"/>
                <w:noProof/>
                <w:sz w:val="28"/>
                <w:szCs w:val="28"/>
              </w:rPr>
              <w:fldChar w:fldCharType="end"/>
            </w:r>
          </w:hyperlink>
        </w:p>
        <w:p w:rsidR="00BD4558" w:rsidRDefault="00955898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BD4558" w:rsidRDefault="00BD455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D4558" w:rsidRDefault="00BD455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D4558" w:rsidRDefault="00BD455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D4558" w:rsidRDefault="00BD455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D4558" w:rsidRDefault="00BD455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D4558" w:rsidRDefault="00BD455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D4558" w:rsidRDefault="00BD455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D4558" w:rsidRDefault="00BD455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D4558" w:rsidRDefault="00BD455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D4558" w:rsidRDefault="00BD455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D4558" w:rsidRDefault="00BD455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D4558" w:rsidRDefault="00BD455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D4558" w:rsidRDefault="00BD455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D4558" w:rsidRDefault="00BD4558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D4558" w:rsidRDefault="00955898">
      <w:pPr>
        <w:pStyle w:val="1"/>
      </w:pPr>
      <w:bookmarkStart w:id="1" w:name="_Toc210834342"/>
      <w:r>
        <w:lastRenderedPageBreak/>
        <w:t>ВВЕДЕНИЕ</w:t>
      </w:r>
      <w:bookmarkEnd w:id="1"/>
    </w:p>
    <w:p w:rsidR="00BD4558" w:rsidRDefault="00BD45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4558" w:rsidRDefault="009558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Современная российская наука стоит перед стратегической задачей, определенной Указом Президента РФ от 28.02.2024 № 145, — «создать возможности для выявления и воспитания талантливой молодежи, построения успешной карьеры в области науки». Эта задача органично вписывается </w:t>
      </w:r>
      <w:r>
        <w:rPr>
          <w:rFonts w:ascii="Times New Roman" w:hAnsi="Times New Roman" w:cs="Times New Roman"/>
          <w:sz w:val="28"/>
          <w:szCs w:val="28"/>
        </w:rPr>
        <w:br/>
        <w:t xml:space="preserve">в общие цели Концепции технологического развития России до 2030 года (далее – Концепция 2030), которая подчеркивает необходимость ускоренного внедрения отечественных высокотехнологичных решений, в том числе </w:t>
      </w:r>
      <w:r>
        <w:rPr>
          <w:rFonts w:ascii="Times New Roman" w:hAnsi="Times New Roman" w:cs="Times New Roman"/>
          <w:sz w:val="28"/>
          <w:szCs w:val="28"/>
        </w:rPr>
        <w:br/>
        <w:t>в здравоохранении (</w:t>
      </w:r>
      <w:hyperlink r:id="rId8" w:tooltip="http://government.ru/news/48570/" w:history="1">
        <w:r>
          <w:rPr>
            <w:rStyle w:val="afb"/>
            <w:rFonts w:ascii="Times New Roman" w:hAnsi="Times New Roman" w:cs="Times New Roman"/>
            <w:sz w:val="28"/>
            <w:szCs w:val="28"/>
          </w:rPr>
          <w:t>http://government.ru/news/48570/</w:t>
        </w:r>
      </w:hyperlink>
      <w:r>
        <w:rPr>
          <w:rStyle w:val="afb"/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В рамках Концепции до 2030 года планируется существенно увеличить объем НИОКР, поддерживать создание малых технологических компаний и наращивать экспорт высокотехнологичной продукции. Достижение этих амбициозных целей напрямую зависит от формирования кадрового резерва и развития компетенций молодых ученых. </w:t>
      </w:r>
    </w:p>
    <w:p w:rsidR="00BD4558" w:rsidRDefault="009558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 ГБУЗ «НПКЦ ДиТ ДЗМ» (далее — Центр), который является ведущим учреждением сферы здравоохранения, определил комплекс вызовов: от кадрового разрыва поколений и сложностей в адаптации молодых специалистов до недостаточной систематизации управленческих процессов. Наши молодые ученые часто сталкиваются со снижением мотивации из-за отложенных результатов научной деятельности и отсутствия четких карьерных траекторий. В этом контексте национальный проект «Молодежь и дети» (</w:t>
      </w:r>
      <w:hyperlink r:id="rId9" w:tooltip="https://minobrnauki.gov.ru/nac_project/" w:history="1">
        <w:r>
          <w:rPr>
            <w:rStyle w:val="afb"/>
            <w:rFonts w:ascii="Times New Roman" w:hAnsi="Times New Roman" w:cs="Times New Roman"/>
            <w:sz w:val="28"/>
            <w:szCs w:val="28"/>
          </w:rPr>
          <w:t>https://minobrnauki.gov.ru/nac_project/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), являясь одним из важнейших приоритетов Правительства Российской Федерации, придает особое значение развитию механизмов поддержки и самореализации молодежи. В данном ключе он обеспечивает комплексное развитие потенциала молодого поколения, включив создание условий для их успешного профессионального старта и закрепления в научной сфере. </w:t>
      </w:r>
    </w:p>
    <w:p w:rsidR="00BD4558" w:rsidRDefault="00955898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>
        <w:rPr>
          <w:rStyle w:val="afd"/>
          <w:rFonts w:eastAsiaTheme="majorEastAsia"/>
          <w:b w:val="0"/>
          <w:bCs w:val="0"/>
          <w:color w:val="0F1115"/>
          <w:sz w:val="28"/>
          <w:szCs w:val="28"/>
        </w:rPr>
        <w:t>В рамках данного нацпроекта основными задачами являются:</w:t>
      </w:r>
      <w:r>
        <w:rPr>
          <w:rStyle w:val="afd"/>
          <w:rFonts w:eastAsiaTheme="majorEastAsia"/>
          <w:color w:val="0F1115"/>
          <w:sz w:val="28"/>
          <w:szCs w:val="28"/>
        </w:rPr>
        <w:t xml:space="preserve"> </w:t>
      </w:r>
      <w:r>
        <w:rPr>
          <w:rStyle w:val="afd"/>
          <w:rFonts w:eastAsiaTheme="majorEastAsia"/>
          <w:b w:val="0"/>
          <w:bCs w:val="0"/>
          <w:color w:val="0F1115"/>
          <w:sz w:val="28"/>
          <w:szCs w:val="28"/>
        </w:rPr>
        <w:t>с</w:t>
      </w:r>
      <w:r>
        <w:rPr>
          <w:color w:val="0F1115"/>
          <w:sz w:val="28"/>
          <w:szCs w:val="28"/>
        </w:rPr>
        <w:t xml:space="preserve">оздание и внедрение систем наставничества в образовательных организациях, научных </w:t>
      </w:r>
      <w:r>
        <w:rPr>
          <w:color w:val="0F1115"/>
          <w:sz w:val="28"/>
          <w:szCs w:val="28"/>
        </w:rPr>
        <w:lastRenderedPageBreak/>
        <w:t>центрах и на производствах; подготовка и мотивация самих наставников, разработка методических рекомендаций и лучших практик; ф</w:t>
      </w:r>
      <w:r>
        <w:rPr>
          <w:color w:val="0F1115"/>
          <w:sz w:val="28"/>
          <w:szCs w:val="28"/>
          <w:shd w:val="clear" w:color="auto" w:fill="FFFFFF"/>
        </w:rPr>
        <w:t>ормирование на базе вузов и научных организаций современных лабораторий, оснащенных передовой приборной базой; развитие кооперации между университетами, научными институтами и промышленными партнерами для выполнения совместных проектов в этих лабораториях.</w:t>
      </w:r>
      <w:r>
        <w:rPr>
          <w:color w:val="0F1115"/>
          <w:sz w:val="28"/>
          <w:szCs w:val="28"/>
        </w:rPr>
        <w:t xml:space="preserve"> </w:t>
      </w:r>
    </w:p>
    <w:p w:rsidR="007701CA" w:rsidRDefault="007701CA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</w:p>
    <w:p w:rsidR="00BD4558" w:rsidRDefault="00955898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t xml:space="preserve">Актуальность вопроса наставничества для молодых ученых проявляется в необходимости подготовки молодых управленцев в </w:t>
      </w:r>
      <w:r w:rsidR="007701CA">
        <w:rPr>
          <w:color w:val="0F1115"/>
          <w:sz w:val="28"/>
          <w:szCs w:val="28"/>
        </w:rPr>
        <w:t xml:space="preserve">развивающей </w:t>
      </w:r>
      <w:r>
        <w:rPr>
          <w:color w:val="0F1115"/>
          <w:sz w:val="28"/>
          <w:szCs w:val="28"/>
        </w:rPr>
        <w:t xml:space="preserve">научной среде, </w:t>
      </w:r>
      <w:r>
        <w:rPr>
          <w:color w:val="0F1115"/>
          <w:sz w:val="28"/>
          <w:szCs w:val="28"/>
          <w:shd w:val="clear" w:color="auto" w:fill="FFFFFF"/>
        </w:rPr>
        <w:t>формирования карьерных лифтов для молодых ученых</w:t>
      </w:r>
      <w:r>
        <w:rPr>
          <w:color w:val="0F1115"/>
          <w:sz w:val="28"/>
          <w:szCs w:val="28"/>
        </w:rPr>
        <w:t xml:space="preserve">, развития школ наставничества и создания лабораторий, которые являются практико-ориентированными научно-исследовательскими полигонами для студентов, молодых ученых и аспирантов. </w:t>
      </w:r>
    </w:p>
    <w:p w:rsidR="00BD4558" w:rsidRDefault="009558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Вызовы, с которыми мы столкнулись на начальном этапе реализации нашего проекта «Инновационная модель наставничества в научном медицинском учреждении: путь к эффективному развитию кадрового потенциала», были связаны с тем, что привлекательность научной деятельности зависит от нескольких факторов:</w:t>
      </w:r>
    </w:p>
    <w:p w:rsidR="00BD4558" w:rsidRDefault="00955898">
      <w:pPr>
        <w:pStyle w:val="af1"/>
        <w:numPr>
          <w:ilvl w:val="0"/>
          <w:numId w:val="20"/>
        </w:numPr>
        <w:tabs>
          <w:tab w:val="clear" w:pos="720"/>
          <w:tab w:val="num" w:pos="36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Профессиональные:</w:t>
      </w:r>
      <w:r>
        <w:rPr>
          <w:rFonts w:ascii="Times New Roman" w:hAnsi="Times New Roman" w:cs="Times New Roman"/>
          <w:sz w:val="28"/>
          <w:szCs w:val="28"/>
        </w:rPr>
        <w:t xml:space="preserve"> сложность научных задач, необходимость постоянного обучения и отдаленность результата научной деятельности, что снижает мотивацию.</w:t>
      </w:r>
    </w:p>
    <w:p w:rsidR="00BD4558" w:rsidRDefault="00955898">
      <w:pPr>
        <w:pStyle w:val="af1"/>
        <w:numPr>
          <w:ilvl w:val="0"/>
          <w:numId w:val="20"/>
        </w:numPr>
        <w:tabs>
          <w:tab w:val="clear" w:pos="720"/>
          <w:tab w:val="num" w:pos="36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Социальные:</w:t>
      </w:r>
      <w:r>
        <w:rPr>
          <w:rFonts w:ascii="Times New Roman" w:hAnsi="Times New Roman" w:cs="Times New Roman"/>
          <w:sz w:val="28"/>
          <w:szCs w:val="28"/>
        </w:rPr>
        <w:t xml:space="preserve"> кадровый разрыв поколений, возникший в 1990–</w:t>
      </w:r>
      <w:r w:rsidRPr="00F579A3">
        <w:rPr>
          <w:rFonts w:ascii="Times New Roman" w:hAnsi="Times New Roman" w:cs="Times New Roman"/>
          <w:sz w:val="28"/>
          <w:szCs w:val="28"/>
        </w:rPr>
        <w:t>20</w:t>
      </w:r>
      <w:r w:rsidR="007701CA" w:rsidRPr="00F579A3">
        <w:rPr>
          <w:rFonts w:ascii="Times New Roman" w:hAnsi="Times New Roman" w:cs="Times New Roman"/>
          <w:sz w:val="28"/>
          <w:szCs w:val="28"/>
        </w:rPr>
        <w:t>1</w:t>
      </w:r>
      <w:r w:rsidRPr="00F579A3">
        <w:rPr>
          <w:rFonts w:ascii="Times New Roman" w:hAnsi="Times New Roman" w:cs="Times New Roman"/>
          <w:sz w:val="28"/>
          <w:szCs w:val="28"/>
        </w:rPr>
        <w:t>0-х годах,</w:t>
      </w:r>
      <w:r>
        <w:rPr>
          <w:rFonts w:ascii="Times New Roman" w:hAnsi="Times New Roman" w:cs="Times New Roman"/>
          <w:sz w:val="28"/>
          <w:szCs w:val="28"/>
        </w:rPr>
        <w:t xml:space="preserve"> привел к проблемам в коммуникации и слабой социальной адаптации молодых ученых.</w:t>
      </w:r>
    </w:p>
    <w:p w:rsidR="00BD4558" w:rsidRDefault="00955898">
      <w:pPr>
        <w:pStyle w:val="af1"/>
        <w:numPr>
          <w:ilvl w:val="0"/>
          <w:numId w:val="20"/>
        </w:numPr>
        <w:tabs>
          <w:tab w:val="clear" w:pos="720"/>
          <w:tab w:val="num" w:pos="36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Экономические:</w:t>
      </w:r>
      <w:r>
        <w:rPr>
          <w:rFonts w:ascii="Times New Roman" w:hAnsi="Times New Roman" w:cs="Times New Roman"/>
          <w:sz w:val="28"/>
          <w:szCs w:val="28"/>
        </w:rPr>
        <w:t xml:space="preserve"> высокая стоимость публикаций </w:t>
      </w:r>
      <w:r>
        <w:rPr>
          <w:rFonts w:ascii="Times New Roman" w:hAnsi="Times New Roman" w:cs="Times New Roman"/>
          <w:sz w:val="28"/>
          <w:szCs w:val="28"/>
        </w:rPr>
        <w:br/>
        <w:t xml:space="preserve">в высокорейтинговых научных журналах, недостаточная информированность </w:t>
      </w:r>
      <w:r w:rsidR="007701CA" w:rsidRPr="00F579A3">
        <w:rPr>
          <w:rFonts w:ascii="Times New Roman" w:hAnsi="Times New Roman" w:cs="Times New Roman"/>
          <w:sz w:val="28"/>
          <w:szCs w:val="28"/>
        </w:rPr>
        <w:t>о новых исследованиях и исследовательских группах</w:t>
      </w:r>
      <w:r w:rsidR="007701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международном сообществе, слабые перспективы международного признания, недостаточный уровень защиты авторских прав. </w:t>
      </w:r>
    </w:p>
    <w:p w:rsidR="00BD4558" w:rsidRDefault="00955898">
      <w:pPr>
        <w:pStyle w:val="af1"/>
        <w:numPr>
          <w:ilvl w:val="0"/>
          <w:numId w:val="20"/>
        </w:numPr>
        <w:tabs>
          <w:tab w:val="clear" w:pos="720"/>
          <w:tab w:val="num" w:pos="36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Технологические:</w:t>
      </w:r>
      <w:r>
        <w:rPr>
          <w:rFonts w:ascii="Times New Roman" w:hAnsi="Times New Roman" w:cs="Times New Roman"/>
          <w:sz w:val="28"/>
          <w:szCs w:val="28"/>
        </w:rPr>
        <w:t xml:space="preserve"> отсутствие стандартов управления научными процессами на местах, отсутствие возможностей по созданию лабораторий для кооперации между университетами, научными институтами и промышленными партнерами для выполнения совместных проектов.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BD4558" w:rsidRDefault="009558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 проект направлен на решение этих проблем путем создания комплексной системы наставничества. Мы рассматриваем наставничество не как формальное прикрепление опытного сотрудника к новичку, а как систему развивающих мероприятий по созданию комфортной, доверительной среды. Данный подход способствует становлению молодых специалистов, которые являются основой потенциала научной организации. </w:t>
      </w:r>
    </w:p>
    <w:p w:rsidR="00BD4558" w:rsidRDefault="00BD45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4558" w:rsidRDefault="009558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проекта — формирование и развитие системы наставничества, обеспечивающей комфортные условия для профессионального и личностного роста научных кадров, что ведет к повышению эффективности научной деятельности и престижа профессии ученого в сфере медицинских наук.</w:t>
      </w:r>
    </w:p>
    <w:p w:rsidR="00BD4558" w:rsidRDefault="00BD45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4558" w:rsidRDefault="009558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Задачи, решаемые в рамках проекта:</w:t>
      </w:r>
    </w:p>
    <w:p w:rsidR="00BD4558" w:rsidRDefault="00955898">
      <w:pPr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корпоративную культуру в научной среде учреждения.</w:t>
      </w:r>
    </w:p>
    <w:p w:rsidR="00BD4558" w:rsidRDefault="00955898">
      <w:pPr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Построить бесшовную инфраструктуру для профессионального развития и адаптации ученых на всех этапах карьеры.</w:t>
      </w:r>
    </w:p>
    <w:p w:rsidR="00BD4558" w:rsidRDefault="00955898">
      <w:pPr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Систематизировать процессы коммуникации и управления для преодоления кадрового разрыва и социализации молодых специалистов.</w:t>
      </w:r>
    </w:p>
    <w:p w:rsidR="00BD4558" w:rsidRDefault="00955898">
      <w:pPr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Внедрить прозрачные и гибкие инструменты управления научными проектами и ресурсами для повышения мотивации и вовлеченности сотрудников.</w:t>
      </w:r>
    </w:p>
    <w:p w:rsidR="00BD4558" w:rsidRDefault="00955898">
      <w:pPr>
        <w:pStyle w:val="1"/>
        <w:spacing w:line="360" w:lineRule="auto"/>
      </w:pPr>
      <w:bookmarkStart w:id="2" w:name="_Toc210834343"/>
      <w:r>
        <w:lastRenderedPageBreak/>
        <w:t>1.</w:t>
      </w:r>
      <w:r>
        <w:rPr>
          <w:b w:val="0"/>
        </w:rPr>
        <w:t xml:space="preserve"> </w:t>
      </w:r>
      <w:r>
        <w:t>Концепция и уникальность нашей практики наставничества в</w:t>
      </w:r>
      <w:r>
        <w:rPr>
          <w:b w:val="0"/>
        </w:rPr>
        <w:t> </w:t>
      </w:r>
      <w:r>
        <w:t>контексте Национальных приоритетов</w:t>
      </w:r>
      <w:bookmarkEnd w:id="2"/>
    </w:p>
    <w:p w:rsidR="00BD4558" w:rsidRDefault="00BD4558">
      <w:pPr>
        <w:spacing w:after="0" w:line="3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4558" w:rsidRDefault="00955898" w:rsidP="00F2065D">
      <w:pPr>
        <w:spacing w:after="0" w:line="3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Разработанная нами модель на</w:t>
      </w:r>
      <w:r w:rsidR="003E3F01">
        <w:rPr>
          <w:rFonts w:ascii="Times New Roman" w:hAnsi="Times New Roman" w:cs="Times New Roman"/>
          <w:sz w:val="28"/>
          <w:szCs w:val="28"/>
        </w:rPr>
        <w:t>ставничества основана на пяти</w:t>
      </w:r>
      <w:r>
        <w:rPr>
          <w:rFonts w:ascii="Times New Roman" w:hAnsi="Times New Roman" w:cs="Times New Roman"/>
          <w:sz w:val="28"/>
          <w:szCs w:val="28"/>
        </w:rPr>
        <w:t xml:space="preserve"> ключевых элементах, которые в совокупности создают уникальную экосистему для развития талантов, полностью соответствующую целям Концепции 2030 и Национального проекта «Молодежь и дети»</w:t>
      </w:r>
      <w:r w:rsidR="00F2065D">
        <w:rPr>
          <w:rFonts w:ascii="Times New Roman" w:hAnsi="Times New Roman" w:cs="Times New Roman"/>
          <w:sz w:val="28"/>
          <w:szCs w:val="28"/>
        </w:rPr>
        <w:t xml:space="preserve"> (рис.1)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065D" w:rsidRDefault="00F2065D" w:rsidP="00F2065D">
      <w:pPr>
        <w:spacing w:after="0" w:line="3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A06">
        <w:rPr>
          <w:rFonts w:ascii="Times New Roman" w:eastAsia="Times New Roman" w:hAnsi="Times New Roman" w:cs="Times New Roman"/>
          <w:noProof/>
          <w:sz w:val="24"/>
          <w:szCs w:val="24"/>
          <w:lang w:eastAsia="ru-RU"/>
          <w14:ligatures w14:val="none"/>
        </w:rPr>
        <w:drawing>
          <wp:inline distT="0" distB="0" distL="0" distR="0" wp14:anchorId="141C1AF8" wp14:editId="15434D40">
            <wp:extent cx="4457700" cy="3285490"/>
            <wp:effectExtent l="0" t="0" r="0" b="0"/>
            <wp:docPr id="7" name="Рисунок 7" descr="C:\Users\SosinaMA\AppData\Local\Packages\Microsoft.Windows.Photos_8wekyb3d8bbwe\TempState\ShareServiceTempFolder\2025-10-10_12-29-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sinaMA\AppData\Local\Packages\Microsoft.Windows.Photos_8wekyb3d8bbwe\TempState\ShareServiceTempFolder\2025-10-10_12-29-4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886" cy="330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65D" w:rsidRPr="00F2065D" w:rsidRDefault="00F2065D" w:rsidP="00F2065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  <w14:ligatures w14:val="none"/>
        </w:rPr>
      </w:pPr>
      <w:r>
        <w:rPr>
          <w:rFonts w:ascii="Times New Roman" w:hAnsi="Times New Roman" w:cs="Times New Roman"/>
          <w:i/>
          <w:sz w:val="28"/>
          <w:szCs w:val="28"/>
        </w:rPr>
        <w:t>Рис. 1. Интегральная экосистема развития кадрового потенциала организации</w:t>
      </w:r>
    </w:p>
    <w:p w:rsidR="00F2065D" w:rsidRDefault="00F2065D" w:rsidP="00F2065D">
      <w:pPr>
        <w:spacing w:after="0" w:line="3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4558" w:rsidRDefault="00D9186B">
      <w:pPr>
        <w:pStyle w:val="af1"/>
        <w:numPr>
          <w:ilvl w:val="0"/>
          <w:numId w:val="18"/>
        </w:numPr>
        <w:spacing w:after="0" w:line="34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79A3">
        <w:rPr>
          <w:rFonts w:ascii="Times New Roman" w:hAnsi="Times New Roman" w:cs="Times New Roman"/>
          <w:b/>
          <w:bCs/>
          <w:sz w:val="28"/>
          <w:szCs w:val="28"/>
        </w:rPr>
        <w:t>Научная среда и</w:t>
      </w:r>
      <w:r w:rsidR="00041D66">
        <w:rPr>
          <w:rFonts w:ascii="Times New Roman" w:hAnsi="Times New Roman" w:cs="Times New Roman"/>
          <w:b/>
          <w:bCs/>
          <w:sz w:val="28"/>
          <w:szCs w:val="28"/>
        </w:rPr>
        <w:t xml:space="preserve"> роль н</w:t>
      </w:r>
      <w:r>
        <w:rPr>
          <w:rFonts w:ascii="Times New Roman" w:hAnsi="Times New Roman" w:cs="Times New Roman"/>
          <w:b/>
          <w:bCs/>
          <w:sz w:val="28"/>
          <w:szCs w:val="28"/>
        </w:rPr>
        <w:t>аучно-образовательной лаборатории (НОЛ):</w:t>
      </w:r>
      <w:r>
        <w:rPr>
          <w:rFonts w:ascii="Times New Roman" w:hAnsi="Times New Roman" w:cs="Times New Roman"/>
          <w:sz w:val="28"/>
          <w:szCs w:val="28"/>
        </w:rPr>
        <w:t xml:space="preserve"> мы создали не просто рабочие места, а полноценную инфраструктуру, где наставничество встроено в ежедневные рабочие процессы. </w:t>
      </w:r>
    </w:p>
    <w:p w:rsidR="00BD4558" w:rsidRDefault="00955898">
      <w:pPr>
        <w:spacing w:after="120" w:line="3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Ключевой элемент: в 2022 году в Центре было организовано структурное подразделение дирекции «Наука» — Научно-образовательная лаборатория, являющаяся катализатором практического обучения и передачи опыта. В НОЛ студенты и молодые ученые получают бесценные практические навыки под руководством опытных коллег, непосредственно участвуя в реальных исследовательских и опытно-конструкторских работах. В рамках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Государственного задания по программам ДЗМ «Научное обеспечение столичного здравоохранения» на 2020-2022 гг. и на 2023-2025 гг. завершены или находятся в процессе выполнения научно-исследовательские и опытно-конструкторские работы (НИР/НИОКР) по 21 теме (8 — завершены, 13 — </w:t>
      </w:r>
      <w:r>
        <w:rPr>
          <w:rFonts w:ascii="Times New Roman" w:hAnsi="Times New Roman" w:cs="Times New Roman"/>
          <w:sz w:val="28"/>
          <w:szCs w:val="28"/>
        </w:rPr>
        <w:br/>
        <w:t xml:space="preserve">в работе), в т. ч. молодые специалисты являются ответственными исполнителями по 9 НИР/НИОКР (4 — </w:t>
      </w:r>
      <w:r w:rsidR="00F2065D">
        <w:rPr>
          <w:rFonts w:ascii="Times New Roman" w:hAnsi="Times New Roman" w:cs="Times New Roman"/>
          <w:sz w:val="28"/>
          <w:szCs w:val="28"/>
        </w:rPr>
        <w:t>завершены, 5 — в работе) (рис. 2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>
        <w:rPr>
          <w:rFonts w:ascii="Times New Roman" w:hAnsi="Times New Roman" w:cs="Times New Roman"/>
          <w:sz w:val="28"/>
          <w:szCs w:val="28"/>
        </w:rPr>
        <w:br/>
        <w:t>По Поручению Правительства Москвы от 01.04.2025 № 656-ПП «О мерах, направленных на реализацию Государственной программы города Москвы «Развитие здравоохранения города Москвы (Столичное здравоохранение)» начато выполнение НИОКР «Перспективное автоматизированное рабочее место врача-рентгенолога на основе генеративного искусственного интеллекта» (2025 г.). Количество практикантов и договоров о практической подготовке на 2022–2025 гг. составило 71 и 29 соответственно. Стремительное продвижение научных коллективов в работе, сложность и объем которой проявились в активном развитии научных тематик и увеличении количества НИР, стало катализатором для качественного развития практико-ориентированной деятельности молодых ученых на базе Центра.</w:t>
      </w:r>
    </w:p>
    <w:p w:rsidR="00BD4558" w:rsidRDefault="00955898" w:rsidP="007701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  <w14:ligatures w14:val="none"/>
        </w:rPr>
        <mc:AlternateContent>
          <mc:Choice Requires="wpg">
            <w:drawing>
              <wp:inline distT="0" distB="0" distL="0" distR="0">
                <wp:extent cx="6042133" cy="2400300"/>
                <wp:effectExtent l="0" t="0" r="0" b="0"/>
                <wp:docPr id="1" name="Рисунок 2" descr="C:\Users\SosinaMA\AppData\Local\Packages\Microsoft.Windows.Photos_8wekyb3d8bbwe\TempState\ShareServiceTempFolder\2025-10-09_11-57-15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SosinaMA\AppData\Local\Packages\Microsoft.Windows.Photos_8wekyb3d8bbwe\TempState\ShareServiceTempFolder\2025-10-09_11-57-15.jpeg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064081" cy="24090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75.76pt;height:189.00pt;mso-wrap-distance-left:0.00pt;mso-wrap-distance-top:0.00pt;mso-wrap-distance-right:0.00pt;mso-wrap-distance-bottom:0.00pt;" stroked="f">
                <v:path textboxrect="0,0,0,0"/>
                <v:imagedata r:id="rId13" o:title=""/>
              </v:shape>
            </w:pict>
          </mc:Fallback>
        </mc:AlternateContent>
      </w:r>
    </w:p>
    <w:p w:rsidR="007701CA" w:rsidRPr="007701CA" w:rsidRDefault="007701CA" w:rsidP="007701CA">
      <w:pPr>
        <w:spacing w:line="240" w:lineRule="auto"/>
        <w:jc w:val="center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Pr="007701CA">
        <w:rPr>
          <w:rFonts w:ascii="Times New Roman" w:hAnsi="Times New Roman" w:cs="Times New Roman"/>
          <w:i/>
          <w:sz w:val="16"/>
          <w:szCs w:val="16"/>
        </w:rPr>
        <w:t xml:space="preserve">*по состоянию на </w:t>
      </w:r>
      <w:r w:rsidRPr="007701CA">
        <w:rPr>
          <w:rFonts w:ascii="Times New Roman" w:hAnsi="Times New Roman" w:cs="Times New Roman"/>
          <w:i/>
          <w:sz w:val="16"/>
          <w:szCs w:val="16"/>
          <w:lang w:val="en-US"/>
        </w:rPr>
        <w:t>I</w:t>
      </w:r>
      <w:r w:rsidRPr="007701CA">
        <w:rPr>
          <w:rFonts w:ascii="Times New Roman" w:hAnsi="Times New Roman" w:cs="Times New Roman"/>
          <w:i/>
          <w:sz w:val="16"/>
          <w:szCs w:val="16"/>
        </w:rPr>
        <w:t xml:space="preserve"> полугодие 2025</w:t>
      </w:r>
    </w:p>
    <w:p w:rsidR="00BD4558" w:rsidRDefault="00F2065D" w:rsidP="007701CA">
      <w:pPr>
        <w:tabs>
          <w:tab w:val="left" w:pos="1800"/>
          <w:tab w:val="center" w:pos="4677"/>
        </w:tabs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Рис. 2</w:t>
      </w:r>
      <w:r w:rsidR="00955898">
        <w:rPr>
          <w:rFonts w:ascii="Times New Roman" w:hAnsi="Times New Roman" w:cs="Times New Roman"/>
          <w:i/>
          <w:sz w:val="28"/>
          <w:szCs w:val="28"/>
        </w:rPr>
        <w:t>. Научная продукция</w:t>
      </w:r>
    </w:p>
    <w:p w:rsidR="00CA4188" w:rsidRDefault="00955898" w:rsidP="00FB0820">
      <w:pPr>
        <w:spacing w:after="0" w:line="3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наш подход позволяет отвечать на вызовы научного сообщества и устойчив к ним. Важно отметить, что работа в НОЛ — это не просто обучение, а погружение в исследовательскую среду, что критически </w:t>
      </w:r>
      <w:r>
        <w:rPr>
          <w:rFonts w:ascii="Times New Roman" w:hAnsi="Times New Roman" w:cs="Times New Roman"/>
          <w:sz w:val="28"/>
          <w:szCs w:val="28"/>
        </w:rPr>
        <w:lastRenderedPageBreak/>
        <w:t>важно для формирования компетенций, необходимых для реализации задач Концепции 2030 по ускоренному внедрению отечественных технологий. Научная работа молодого специалиста не просто регулируется научным руководителем — она находится под постоянным вниманием Ученого совета и Научной проблемной комиссии (НПК), а также является частью большого проекта и требует взаимодействия с другими исследователями и узкими специалистами (патентный поверенный, биостатистик, переводчик), что позволяет развивать социальные компетенции молодого ученого.</w:t>
      </w:r>
    </w:p>
    <w:p w:rsidR="00041D66" w:rsidRDefault="00041D66" w:rsidP="00041D66">
      <w:pPr>
        <w:pStyle w:val="af1"/>
        <w:numPr>
          <w:ilvl w:val="0"/>
          <w:numId w:val="18"/>
        </w:numPr>
        <w:spacing w:after="0" w:line="34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446">
        <w:rPr>
          <w:rFonts w:ascii="Times New Roman" w:hAnsi="Times New Roman" w:cs="Times New Roman"/>
          <w:b/>
          <w:bCs/>
          <w:sz w:val="28"/>
          <w:szCs w:val="28"/>
        </w:rPr>
        <w:t>Кузница кадров – единая система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партисипативного и матричного управления и привлечение молодежи в науку для формирования сообщества молодых управленцев:</w:t>
      </w:r>
      <w:r>
        <w:rPr>
          <w:rFonts w:ascii="Times New Roman" w:hAnsi="Times New Roman" w:cs="Times New Roman"/>
          <w:sz w:val="28"/>
          <w:szCs w:val="28"/>
        </w:rPr>
        <w:t xml:space="preserve"> мы отошли от строгой вертикальной иерархии в пользу горизонтальных форм управления и вовлечения сотрудников в принятие решений. Для этого был разработан перечень мероприятий, такие как ежегодная стратегическая сессия «Неделя науки», регулярные встречи и хакатоны, которые позволяют молодым специалистам как инициативно выбирать тематики, так и принимать участие в обсуждении тактического и стратегического развития. Применение матричного управления дает возможность линейным сотрудникам становиться руководителями междисциплинарных проектов, получая уникальный управленческий опыт под кураторством старших коллег. Через подобные мероприятия в таком формате мы привлекаем в науку практикантов и аспирантов со студенческой скамьи. Это позволяет не только развивать их лидерские качества, но и показывать возможности карьерного развития ученого, подготавливать компетентны</w:t>
      </w:r>
      <w:r w:rsidR="00FB0820">
        <w:rPr>
          <w:rFonts w:ascii="Times New Roman" w:hAnsi="Times New Roman" w:cs="Times New Roman"/>
          <w:sz w:val="28"/>
          <w:szCs w:val="28"/>
        </w:rPr>
        <w:t>х руководителей проектов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41D66" w:rsidRDefault="00041D66" w:rsidP="00041D66">
      <w:pPr>
        <w:spacing w:after="0" w:line="3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Разработанный подход матрицы управления дает возможность сотрудникам эффективно выступать руководителями, получая</w:t>
      </w:r>
      <w:r w:rsidR="008851BE">
        <w:rPr>
          <w:rFonts w:ascii="Times New Roman" w:hAnsi="Times New Roman" w:cs="Times New Roman"/>
          <w:sz w:val="28"/>
          <w:szCs w:val="28"/>
        </w:rPr>
        <w:t xml:space="preserve"> уникальный управленческий опыт (рис.</w:t>
      </w:r>
      <w:r w:rsidR="006433AA">
        <w:rPr>
          <w:rFonts w:ascii="Times New Roman" w:hAnsi="Times New Roman" w:cs="Times New Roman"/>
          <w:sz w:val="28"/>
          <w:szCs w:val="28"/>
        </w:rPr>
        <w:t xml:space="preserve"> </w:t>
      </w:r>
      <w:r w:rsidR="00F2065D">
        <w:rPr>
          <w:rFonts w:ascii="Times New Roman" w:hAnsi="Times New Roman" w:cs="Times New Roman"/>
          <w:sz w:val="28"/>
          <w:szCs w:val="28"/>
        </w:rPr>
        <w:t>3</w:t>
      </w:r>
      <w:r w:rsidR="008851BE">
        <w:rPr>
          <w:rFonts w:ascii="Times New Roman" w:hAnsi="Times New Roman" w:cs="Times New Roman"/>
          <w:sz w:val="28"/>
          <w:szCs w:val="28"/>
        </w:rPr>
        <w:t>).</w:t>
      </w:r>
    </w:p>
    <w:p w:rsidR="008851BE" w:rsidRDefault="008851BE" w:rsidP="00041D66">
      <w:pPr>
        <w:spacing w:after="0" w:line="3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AD9948D" wp14:editId="7824B146">
            <wp:extent cx="3523192" cy="2362200"/>
            <wp:effectExtent l="0" t="0" r="1270" b="0"/>
            <wp:docPr id="3" name="Рисунок 3" descr="C:\Users\SosinaMA\Downloads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sinaMA\Downloads\image (6).jpg"/>
                    <pic:cNvPicPr>
                      <a:picLocks noChangeAspect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3523192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1BE" w:rsidRDefault="008851BE" w:rsidP="00041D66">
      <w:pPr>
        <w:spacing w:after="0" w:line="3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F859158" wp14:editId="0225C2A7">
            <wp:extent cx="3246496" cy="2724150"/>
            <wp:effectExtent l="0" t="0" r="0" b="0"/>
            <wp:docPr id="4" name="Рисунок 1" descr="C:\Users\SosinaMA\Downloads\image (6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sinaMA\Downloads\image (6) (1).jpg"/>
                    <pic:cNvPicPr>
                      <a:picLocks noChangeAspect="1"/>
                    </pic:cNvPicPr>
                  </pic:nvPicPr>
                  <pic:blipFill>
                    <a:blip r:embed="rId15"/>
                    <a:stretch/>
                  </pic:blipFill>
                  <pic:spPr bwMode="auto">
                    <a:xfrm>
                      <a:off x="0" y="0"/>
                      <a:ext cx="3246496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1BE" w:rsidRDefault="00F2065D" w:rsidP="008851BE">
      <w:pPr>
        <w:pStyle w:val="afe"/>
        <w:spacing w:before="0" w:beforeAutospacing="0" w:after="0" w:afterAutospacing="0" w:line="360" w:lineRule="auto"/>
        <w:jc w:val="center"/>
        <w:rPr>
          <w:rFonts w:eastAsiaTheme="minorHAnsi"/>
          <w:i/>
          <w:sz w:val="28"/>
          <w:szCs w:val="28"/>
          <w:lang w:eastAsia="en-US"/>
          <w14:ligatures w14:val="standardContextual"/>
        </w:rPr>
      </w:pPr>
      <w:r>
        <w:rPr>
          <w:rFonts w:eastAsiaTheme="minorHAnsi"/>
          <w:i/>
          <w:sz w:val="28"/>
          <w:szCs w:val="28"/>
          <w:lang w:eastAsia="en-US"/>
          <w14:ligatures w14:val="standardContextual"/>
        </w:rPr>
        <w:t>Рис.</w:t>
      </w:r>
      <w:r w:rsidR="003E1CD6">
        <w:rPr>
          <w:rFonts w:eastAsiaTheme="minorHAnsi"/>
          <w:i/>
          <w:sz w:val="28"/>
          <w:szCs w:val="28"/>
          <w:lang w:eastAsia="en-US"/>
          <w14:ligatures w14:val="standardContextual"/>
        </w:rPr>
        <w:t xml:space="preserve"> </w:t>
      </w:r>
      <w:r>
        <w:rPr>
          <w:rFonts w:eastAsiaTheme="minorHAnsi"/>
          <w:i/>
          <w:sz w:val="28"/>
          <w:szCs w:val="28"/>
          <w:lang w:eastAsia="en-US"/>
          <w14:ligatures w14:val="standardContextual"/>
        </w:rPr>
        <w:t>3</w:t>
      </w:r>
      <w:r w:rsidR="008851BE">
        <w:rPr>
          <w:rFonts w:eastAsiaTheme="minorHAnsi"/>
          <w:i/>
          <w:sz w:val="28"/>
          <w:szCs w:val="28"/>
          <w:lang w:eastAsia="en-US"/>
          <w14:ligatures w14:val="standardContextual"/>
        </w:rPr>
        <w:t>. Реализация проекта. Партисипативное управление</w:t>
      </w:r>
    </w:p>
    <w:p w:rsidR="00A73F80" w:rsidRPr="008851BE" w:rsidRDefault="00A73F80" w:rsidP="008851BE">
      <w:pPr>
        <w:pStyle w:val="afe"/>
        <w:spacing w:before="0" w:beforeAutospacing="0" w:after="0" w:afterAutospacing="0" w:line="360" w:lineRule="auto"/>
        <w:jc w:val="center"/>
        <w:rPr>
          <w:rFonts w:eastAsiaTheme="minorHAnsi"/>
          <w:i/>
          <w:sz w:val="28"/>
          <w:szCs w:val="28"/>
          <w:lang w:eastAsia="en-US"/>
          <w14:ligatures w14:val="standardContextual"/>
        </w:rPr>
      </w:pPr>
    </w:p>
    <w:p w:rsidR="00BD4558" w:rsidRDefault="00D9186B">
      <w:pPr>
        <w:pStyle w:val="af1"/>
        <w:numPr>
          <w:ilvl w:val="0"/>
          <w:numId w:val="18"/>
        </w:numPr>
        <w:spacing w:after="0" w:line="34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446">
        <w:rPr>
          <w:rFonts w:ascii="Times New Roman" w:hAnsi="Times New Roman" w:cs="Times New Roman"/>
          <w:b/>
          <w:bCs/>
          <w:sz w:val="28"/>
          <w:szCs w:val="28"/>
        </w:rPr>
        <w:t>Профессиональное развитие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- интеграция и значение планового подхода к развитию кадрового потенциала организации:</w:t>
      </w:r>
      <w:r>
        <w:rPr>
          <w:rFonts w:ascii="Times New Roman" w:hAnsi="Times New Roman" w:cs="Times New Roman"/>
          <w:sz w:val="28"/>
          <w:szCs w:val="28"/>
        </w:rPr>
        <w:t xml:space="preserve"> все процессы научной деятельности объединены в единую систему и заканчиваются индивидуальными КПЭ (в соответствии с этим была разработана единая система КПЭ), стандартных операций, процедур для упрощения и автоматизации процессов. </w:t>
      </w:r>
    </w:p>
    <w:p w:rsidR="00BD4558" w:rsidRPr="00C24406" w:rsidRDefault="00955898" w:rsidP="00C24406">
      <w:pPr>
        <w:spacing w:after="0" w:line="3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единой базы знаний и стандартизированных алгоритмов и чек-листов для выполнения типовых задач значительно упрощает процесс адаптации новых сотрудников. Наставнику не нужно тратить время на объяснение рутинных операций — он может сфокусироваться на передаче уникальных знаний и компетенций. Этот плановый подход к развитию </w:t>
      </w:r>
      <w:r>
        <w:rPr>
          <w:rFonts w:ascii="Times New Roman" w:hAnsi="Times New Roman" w:cs="Times New Roman"/>
          <w:sz w:val="28"/>
          <w:szCs w:val="28"/>
        </w:rPr>
        <w:lastRenderedPageBreak/>
        <w:t>кадрового потенциала, заложенный в основу нашей системы, гарантирует целенаправленную подготовку специалистов, способных решать актуальные задачи современной медицинской науки. Систематизация процессов минимизирует риски, обеспечивает преемственность знаний и позволяет эффективно планировать карьерные траектории, что является краеугольным камнем успешного функционирования научного учреждения. В рамках этого этапа было разработано 21 положение и регламенты, 36 форм и шаблонов докуме</w:t>
      </w:r>
      <w:r w:rsidR="00C24406">
        <w:rPr>
          <w:rFonts w:ascii="Times New Roman" w:hAnsi="Times New Roman" w:cs="Times New Roman"/>
          <w:sz w:val="28"/>
          <w:szCs w:val="28"/>
        </w:rPr>
        <w:t>нтов, а также 14 модулей учета.</w:t>
      </w:r>
    </w:p>
    <w:p w:rsidR="00700FAF" w:rsidRDefault="00EA0411" w:rsidP="00EA0411">
      <w:pPr>
        <w:pStyle w:val="af1"/>
        <w:numPr>
          <w:ilvl w:val="0"/>
          <w:numId w:val="18"/>
        </w:numPr>
        <w:spacing w:after="0" w:line="34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Авторский цифровой инструмент управления научной деятельностью «Матрица задач»:</w:t>
      </w:r>
      <w:r>
        <w:rPr>
          <w:rFonts w:ascii="Times New Roman" w:hAnsi="Times New Roman" w:cs="Times New Roman"/>
          <w:sz w:val="28"/>
          <w:szCs w:val="28"/>
        </w:rPr>
        <w:t xml:space="preserve"> мы разработали и зарегистрировали (свидетельство № 2025613223) цифровую платформу для управления научными проектами. Это не просто трекер задач, а инструмент наставничества, который обеспечивает планирование ключевых показателей эффективности (КПЭ). Особое внимание уделено прозрачности бизнес-процессов, сохранению авторского права для всех участников работ и распределению нагрузки в рамках рабочего времени сотрудников. Всему коллективу доступен перечень проектов, задач, нагрузки на каждого работника, также у сотрудников есть возможность оценить свою эффективность. Для личностного развития — разработан и внедрен персональный подход развития ученого, внедрены индивидуальные карты развития молодого учено</w:t>
      </w:r>
      <w:r w:rsidR="00F2065D">
        <w:rPr>
          <w:rFonts w:ascii="Times New Roman" w:hAnsi="Times New Roman" w:cs="Times New Roman"/>
          <w:sz w:val="28"/>
          <w:szCs w:val="28"/>
        </w:rPr>
        <w:t>го (рис. 4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700FAF" w:rsidRPr="00700FAF" w:rsidRDefault="00700FAF" w:rsidP="00700FAF">
      <w:pPr>
        <w:spacing w:after="0" w:line="3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0FAF">
        <w:rPr>
          <w:rFonts w:ascii="Times New Roman" w:hAnsi="Times New Roman" w:cs="Times New Roman"/>
          <w:sz w:val="28"/>
          <w:szCs w:val="28"/>
        </w:rPr>
        <w:t>С помощью индивидуальной карты развития молодой специалист видит свой вклад в общий результат, а наставник может эффективно распределять ресурсы и отслеживать прогресс, прогнозируя потребности в обучении. Инструмент дает возможность молодому ученому под руководством наставника становиться ответственным исполнителем. Данный управленческий инструмент способствует повышению эффективности исследований, что напрямую коррелирует с целями Концепции 2030 по наращиванию объемов отечественных НИОКР.</w:t>
      </w:r>
    </w:p>
    <w:p w:rsidR="00EA0411" w:rsidRDefault="00EA0411" w:rsidP="00700FAF">
      <w:pPr>
        <w:pStyle w:val="af1"/>
        <w:spacing w:after="0" w:line="348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0411" w:rsidRDefault="00EA0411" w:rsidP="00EA041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A3FA07" wp14:editId="15BB856F">
            <wp:extent cx="5089788" cy="4438650"/>
            <wp:effectExtent l="19050" t="19050" r="15875" b="19050"/>
            <wp:docPr id="2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6"/>
                    <pic:cNvPicPr>
                      <a:picLocks noChangeAspect="1"/>
                    </pic:cNvPicPr>
                  </pic:nvPicPr>
                  <pic:blipFill>
                    <a:blip r:embed="rId16"/>
                    <a:srcRect l="1" t="3460" r="1063" b="3319"/>
                    <a:stretch/>
                  </pic:blipFill>
                  <pic:spPr bwMode="auto">
                    <a:xfrm>
                      <a:off x="0" y="0"/>
                      <a:ext cx="5196941" cy="453209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EA0411" w:rsidRDefault="00F2065D" w:rsidP="00EA041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Рис. 4</w:t>
      </w:r>
      <w:r w:rsidR="00EA0411">
        <w:rPr>
          <w:rFonts w:ascii="Times New Roman" w:hAnsi="Times New Roman" w:cs="Times New Roman"/>
          <w:i/>
          <w:sz w:val="28"/>
          <w:szCs w:val="28"/>
        </w:rPr>
        <w:t>. Пример индивидуальной карты развития молодого ученого</w:t>
      </w:r>
    </w:p>
    <w:p w:rsidR="00EA0411" w:rsidRDefault="00EA0411" w:rsidP="00EA04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0411" w:rsidRDefault="00EA0411" w:rsidP="00EA0411">
      <w:pPr>
        <w:spacing w:after="0" w:line="3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79A3">
        <w:rPr>
          <w:rFonts w:ascii="Times New Roman" w:hAnsi="Times New Roman" w:cs="Times New Roman"/>
          <w:sz w:val="28"/>
          <w:szCs w:val="28"/>
        </w:rPr>
        <w:t xml:space="preserve">Благодаря созданию прозрачного управленческого инструмента удалось реализовать человекоориентированный подход и обеспечить сохранность авторства в научных исследованиях. Ученые получают нематериальную мотивацию через публичное признание и актуальную оценку их вклада </w:t>
      </w:r>
      <w:r w:rsidR="006433AA">
        <w:rPr>
          <w:rFonts w:ascii="Times New Roman" w:hAnsi="Times New Roman" w:cs="Times New Roman"/>
          <w:sz w:val="28"/>
          <w:szCs w:val="28"/>
        </w:rPr>
        <w:br/>
      </w:r>
      <w:r w:rsidRPr="00F579A3">
        <w:rPr>
          <w:rFonts w:ascii="Times New Roman" w:hAnsi="Times New Roman" w:cs="Times New Roman"/>
          <w:sz w:val="28"/>
          <w:szCs w:val="28"/>
        </w:rPr>
        <w:t>в научные достижения.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0411" w:rsidRDefault="00EA0411" w:rsidP="00F2065D">
      <w:pPr>
        <w:spacing w:after="0" w:line="34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4558" w:rsidRDefault="00955898">
      <w:pPr>
        <w:pStyle w:val="1"/>
      </w:pPr>
      <w:bookmarkStart w:id="3" w:name="_Toc210834344"/>
      <w:r>
        <w:lastRenderedPageBreak/>
        <w:t>2. Механизмы реализации и тиражируемость практики наставничества</w:t>
      </w:r>
      <w:bookmarkEnd w:id="3"/>
    </w:p>
    <w:p w:rsidR="00BD4558" w:rsidRDefault="00BD4558">
      <w:pPr>
        <w:spacing w:after="0" w:line="3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4558" w:rsidRDefault="00955898">
      <w:pPr>
        <w:spacing w:after="0" w:line="3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Наша практика наставничества внедрялась поэтапно, что позволило контролировать промежуточные результаты, дополнять их необходимыми мероприятиями, а также расширять и обеспечивать повторяемость достигнутых результатов в других организациях. </w:t>
      </w:r>
    </w:p>
    <w:p w:rsidR="00BD4558" w:rsidRDefault="00955898">
      <w:pPr>
        <w:spacing w:after="0" w:line="3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Этап 1: Создание фундамента (инфраструктура).</w:t>
      </w:r>
      <w:r>
        <w:rPr>
          <w:rFonts w:ascii="Times New Roman" w:hAnsi="Times New Roman" w:cs="Times New Roman"/>
          <w:sz w:val="28"/>
          <w:szCs w:val="28"/>
        </w:rPr>
        <w:t xml:space="preserve"> Была создана Научно-образовательная лаборатория, которая является практико-</w:t>
      </w:r>
      <w:r>
        <w:rPr>
          <w:rFonts w:ascii="Times New Roman" w:hAnsi="Times New Roman" w:cs="Times New Roman"/>
          <w:color w:val="0F111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ориентированным научно-исследовательским полигоном, сформированы составы Ученого совета и этического комитета, запущены регулярные форматы взаимодействия (семинары, хакатоны, стратегическая сессия «Неделя науки», конференция молодых ученых, НПК) для обмена знаниями и повышения компетенций и самообучения коллектива. Этот этап может быть воспроизведен в любом крупном научном или медицинском учреждении.</w:t>
      </w:r>
    </w:p>
    <w:p w:rsidR="00BD4558" w:rsidRDefault="00955898">
      <w:pPr>
        <w:spacing w:after="0" w:line="3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Этап 2: Цифровизация наставничества. Нормирование труда.</w:t>
      </w:r>
      <w:r>
        <w:rPr>
          <w:rFonts w:ascii="Times New Roman" w:hAnsi="Times New Roman" w:cs="Times New Roman"/>
          <w:sz w:val="28"/>
          <w:szCs w:val="28"/>
        </w:rPr>
        <w:t xml:space="preserve"> Внедрение платформы «Матрица задач» позволило перейти на новый уровень управления. Основные функции «Матрицы задач»: прозрачность и планирование работ в организации. Основные правила управленческого инструмента: 1 задача — 1 ответственный, нормирование видов работ в соответствии с КПЭ каждой роли (главный исследователь, соисследователь, эксперт), нормирование загрузки в соответствии со сложностью задачи и % выполнения на конец периода, приоритизация задач. Открытое планирование научной деятельности, распределение задач и нагрузки, открытое обсуждение — все это формирует доверие в рабочей группе к коллегам и результатам. </w:t>
      </w:r>
    </w:p>
    <w:p w:rsidR="00BD4558" w:rsidRDefault="00955898">
      <w:pPr>
        <w:spacing w:after="0" w:line="3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Платформа может быть внедрена в других учреждениях как самостоятельный управленческий продукт.</w:t>
      </w:r>
    </w:p>
    <w:p w:rsidR="00BD4558" w:rsidRDefault="00955898">
      <w:pPr>
        <w:spacing w:after="0" w:line="348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Этап 3: Стандартизация процессов. Системное планирование деятельности в организации.</w:t>
      </w:r>
      <w:r>
        <w:rPr>
          <w:rFonts w:ascii="Times New Roman" w:hAnsi="Times New Roman" w:cs="Times New Roman"/>
          <w:sz w:val="28"/>
          <w:szCs w:val="28"/>
        </w:rPr>
        <w:t xml:space="preserve"> Разработан 21 регламент и 36 шаблонов для научной деятельности. Все бизнес-процессы упрощены до чек-листов для разумного использования в Б24. Эти документы могут быть адаптированы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другими организациями, стремящимися унифицировать свои внутренние процессы, и внедрены в практику. </w:t>
      </w:r>
    </w:p>
    <w:p w:rsidR="00BD4558" w:rsidRDefault="00955898">
      <w:pPr>
        <w:spacing w:after="0" w:line="3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Этап 4: Развитие кадрового потенциала.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Индивидуальные карты развития сотрудников.</w:t>
      </w:r>
      <w:r>
        <w:rPr>
          <w:rFonts w:ascii="Times New Roman" w:hAnsi="Times New Roman" w:cs="Times New Roman"/>
          <w:sz w:val="28"/>
          <w:szCs w:val="28"/>
        </w:rPr>
        <w:t xml:space="preserve"> Мы выстроили системную работу с ведущими вузами страны (МГТУ им. Баумана, МИРЭА – Российский технологический университет (РТУ МИРЭА), Национальный исследовательский университет «МЭИ», ПМГМУ им. Сеченова (Сеченовский Университет) и др.), принимая студентов на практику с последующим трудоустройством. Открытие собственных программ аспирантуры и ординатуры по напрвлениям «Лучевая диагностика» и «Рентгенология» стало высшей точкой системы наставничества, позволив объединить образование и научную деятельность, </w:t>
      </w:r>
      <w:r>
        <w:rPr>
          <w:rFonts w:ascii="Times New Roman" w:hAnsi="Times New Roman" w:cs="Times New Roman"/>
          <w:sz w:val="28"/>
          <w:szCs w:val="28"/>
        </w:rPr>
        <w:br/>
        <w:t>а также развивать практические навыки сотрудников на базе лаборатории. Мы создали условия, обеспечивающие приток молодых специалистов, мотивированных к развитию и закреплению в российской науке.</w:t>
      </w:r>
    </w:p>
    <w:p w:rsidR="00BD4558" w:rsidRDefault="00955898">
      <w:pPr>
        <w:spacing w:after="0" w:line="3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Эффективность применения комплексного авторского подхода </w:t>
      </w:r>
      <w:r>
        <w:rPr>
          <w:rFonts w:ascii="Times New Roman" w:hAnsi="Times New Roman" w:cs="Times New Roman"/>
          <w:sz w:val="28"/>
          <w:szCs w:val="28"/>
        </w:rPr>
        <w:br/>
        <w:t xml:space="preserve">к организации наставничества для молодых ученых доказала свою востребованность и тиражируемость: в 2024 году было заключено </w:t>
      </w:r>
      <w:r>
        <w:rPr>
          <w:rFonts w:ascii="Times New Roman" w:hAnsi="Times New Roman" w:cs="Times New Roman"/>
          <w:sz w:val="28"/>
          <w:szCs w:val="28"/>
        </w:rPr>
        <w:br/>
        <w:t>54 соглашения о научном сотрудничестве, в том числе с Тихоокеанским государственным медицинским университетом Министерства здравоохранения Российской Федерации (ФГБОУ ВО ТГМУ Минздрава России) (г. Владивосток) по направлению «Организация эффективного управления научной деятельностью», что подтверждает интерес к нашей модели в других регионах Российской Федерации.</w:t>
      </w:r>
    </w:p>
    <w:p w:rsidR="00BD4558" w:rsidRDefault="00955898">
      <w:pPr>
        <w:pStyle w:val="1"/>
      </w:pPr>
      <w:bookmarkStart w:id="4" w:name="_Toc210834345"/>
      <w:r>
        <w:lastRenderedPageBreak/>
        <w:t>3. Результативность и эффективность практики наставничества</w:t>
      </w:r>
      <w:bookmarkEnd w:id="4"/>
    </w:p>
    <w:p w:rsidR="00BD4558" w:rsidRDefault="00BD4558">
      <w:pPr>
        <w:spacing w:after="0" w:line="3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4558" w:rsidRDefault="009558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Внедрение комплексной системы наставничества принесло измеримые результаты, подтверждающие ее вклад в достижение целей.</w:t>
      </w:r>
    </w:p>
    <w:p w:rsidR="00BD4558" w:rsidRDefault="009558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Количественные показатели:</w:t>
      </w:r>
    </w:p>
    <w:p w:rsidR="00BD4558" w:rsidRDefault="00955898">
      <w:pPr>
        <w:pStyle w:val="af1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Штат дирекции «Наука» увеличился на 16 % (10 ставок), что говорит о привлекательности Центра как работодателя и соответствует задачам по привлечению молодежи в научную сферу.</w:t>
      </w:r>
    </w:p>
    <w:p w:rsidR="00DE19E0" w:rsidRDefault="00955898" w:rsidP="00597BE6">
      <w:pPr>
        <w:pStyle w:val="af1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9E0">
        <w:rPr>
          <w:rFonts w:ascii="Times New Roman" w:hAnsi="Times New Roman" w:cs="Times New Roman"/>
          <w:sz w:val="28"/>
          <w:szCs w:val="28"/>
        </w:rPr>
        <w:t xml:space="preserve">Длительность подготовки научных статей сократилась в 2 раза, </w:t>
      </w:r>
      <w:r w:rsidRPr="00DE19E0">
        <w:rPr>
          <w:rFonts w:ascii="Times New Roman" w:hAnsi="Times New Roman" w:cs="Times New Roman"/>
          <w:sz w:val="28"/>
          <w:szCs w:val="28"/>
        </w:rPr>
        <w:br/>
        <w:t>а методических рекомендаций — в 1,5 раза, демонстрируя повышение эффективности и скорости исследований, что важно для реализации Концепции 2030</w:t>
      </w:r>
      <w:r w:rsidR="00DE19E0">
        <w:rPr>
          <w:rStyle w:val="a8"/>
          <w:rFonts w:ascii="Times New Roman" w:hAnsi="Times New Roman" w:cs="Times New Roman"/>
          <w:sz w:val="28"/>
          <w:szCs w:val="28"/>
        </w:rPr>
        <w:footnoteReference w:id="1"/>
      </w:r>
      <w:r w:rsidR="00DE19E0">
        <w:rPr>
          <w:rFonts w:ascii="Times New Roman" w:hAnsi="Times New Roman" w:cs="Times New Roman"/>
          <w:sz w:val="28"/>
          <w:szCs w:val="28"/>
        </w:rPr>
        <w:t>.</w:t>
      </w:r>
    </w:p>
    <w:p w:rsidR="00BD4558" w:rsidRPr="00DE19E0" w:rsidRDefault="00955898" w:rsidP="00597BE6">
      <w:pPr>
        <w:pStyle w:val="af1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9E0">
        <w:rPr>
          <w:rFonts w:ascii="Times New Roman" w:hAnsi="Times New Roman" w:cs="Times New Roman"/>
          <w:sz w:val="28"/>
          <w:szCs w:val="28"/>
        </w:rPr>
        <w:t>Доля публикаций и цитирований Центра среди всех российских организаций выросла на 0,052 % и 0,05 % соответственно, подтверждая рост научного авторитета и вклад в общую копилку отечественной науки.</w:t>
      </w:r>
    </w:p>
    <w:p w:rsidR="00BD4558" w:rsidRDefault="00955898">
      <w:pPr>
        <w:pStyle w:val="af1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Проведено 8 заседаний молодежного научного объединения и 3 хакатона, по результатам которых были трудоустроены 5 молодых специалистов, что является прямым результатом активного привлечения и интеграции молодежи в научную среду.</w:t>
      </w:r>
    </w:p>
    <w:p w:rsidR="00BD4558" w:rsidRDefault="00955898">
      <w:pPr>
        <w:pStyle w:val="af1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8F4E1A">
        <w:rPr>
          <w:rFonts w:ascii="Times New Roman" w:hAnsi="Times New Roman" w:cs="Times New Roman"/>
          <w:sz w:val="28"/>
          <w:szCs w:val="28"/>
        </w:rPr>
        <w:t xml:space="preserve"> 2022 года в Центр поступило 293</w:t>
      </w:r>
      <w:r>
        <w:rPr>
          <w:rFonts w:ascii="Times New Roman" w:hAnsi="Times New Roman" w:cs="Times New Roman"/>
          <w:sz w:val="28"/>
          <w:szCs w:val="28"/>
        </w:rPr>
        <w:t xml:space="preserve"> основных сотрудника и 87 молодых сотрудников (до 35 лет включительно)</w:t>
      </w:r>
      <w:r w:rsidR="00461134">
        <w:rPr>
          <w:rFonts w:ascii="Times New Roman" w:hAnsi="Times New Roman" w:cs="Times New Roman"/>
          <w:sz w:val="28"/>
          <w:szCs w:val="28"/>
        </w:rPr>
        <w:t xml:space="preserve"> (</w:t>
      </w:r>
      <w:r w:rsidR="00FA4A83">
        <w:rPr>
          <w:rFonts w:ascii="Times New Roman" w:hAnsi="Times New Roman" w:cs="Times New Roman"/>
          <w:sz w:val="28"/>
          <w:szCs w:val="28"/>
        </w:rPr>
        <w:t xml:space="preserve">данные </w:t>
      </w:r>
      <w:r w:rsidR="00695966">
        <w:rPr>
          <w:rFonts w:ascii="Times New Roman" w:hAnsi="Times New Roman" w:cs="Times New Roman"/>
          <w:sz w:val="28"/>
          <w:szCs w:val="28"/>
        </w:rPr>
        <w:t xml:space="preserve">с учетом внешнего совместительства: 424 </w:t>
      </w:r>
      <w:r w:rsidR="00461134">
        <w:rPr>
          <w:rFonts w:ascii="Times New Roman" w:hAnsi="Times New Roman" w:cs="Times New Roman"/>
          <w:sz w:val="28"/>
          <w:szCs w:val="28"/>
        </w:rPr>
        <w:t xml:space="preserve">сотрудника </w:t>
      </w:r>
      <w:r w:rsidR="008F4E1A">
        <w:rPr>
          <w:rFonts w:ascii="Times New Roman" w:hAnsi="Times New Roman" w:cs="Times New Roman"/>
          <w:sz w:val="28"/>
          <w:szCs w:val="28"/>
        </w:rPr>
        <w:t>и 151 сотрудник</w:t>
      </w:r>
      <w:r w:rsidR="00695966">
        <w:rPr>
          <w:rFonts w:ascii="Times New Roman" w:hAnsi="Times New Roman" w:cs="Times New Roman"/>
          <w:sz w:val="28"/>
          <w:szCs w:val="28"/>
        </w:rPr>
        <w:t xml:space="preserve"> (до 35 лет включительно)</w:t>
      </w:r>
      <w:r w:rsidR="0046113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Более деталь</w:t>
      </w:r>
      <w:r w:rsidR="008A4206">
        <w:rPr>
          <w:rFonts w:ascii="Times New Roman" w:hAnsi="Times New Roman" w:cs="Times New Roman"/>
          <w:sz w:val="28"/>
          <w:szCs w:val="28"/>
        </w:rPr>
        <w:t>ный анализ</w:t>
      </w:r>
      <w:r w:rsidR="001602ED">
        <w:rPr>
          <w:rFonts w:ascii="Times New Roman" w:hAnsi="Times New Roman" w:cs="Times New Roman"/>
          <w:sz w:val="28"/>
          <w:szCs w:val="28"/>
        </w:rPr>
        <w:t xml:space="preserve"> 2022-2023 гг. </w:t>
      </w:r>
      <w:r w:rsidR="008A4206">
        <w:rPr>
          <w:rFonts w:ascii="Times New Roman" w:hAnsi="Times New Roman" w:cs="Times New Roman"/>
          <w:sz w:val="28"/>
          <w:szCs w:val="28"/>
        </w:rPr>
        <w:t>представлен на рис. 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D4558" w:rsidRDefault="00BD4558">
      <w:pPr>
        <w:spacing w:after="0" w:line="348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D4558" w:rsidRDefault="00955898">
      <w:pPr>
        <w:spacing w:after="0" w:line="34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  <w14:ligatures w14:val="none"/>
        </w:rPr>
        <w:lastRenderedPageBreak/>
        <mc:AlternateContent>
          <mc:Choice Requires="wpg">
            <w:drawing>
              <wp:inline distT="0" distB="0" distL="0" distR="0">
                <wp:extent cx="6210300" cy="2204993"/>
                <wp:effectExtent l="0" t="0" r="0" b="5080"/>
                <wp:docPr id="5" name="Рисунок 4" descr="C:\Users\SosinaMA\AppData\Local\Packages\Microsoft.Windows.Photos_8wekyb3d8bbwe\TempState\ShareServiceTempFolder\2025-10-07_16-38-0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SosinaMA\AppData\Local\Packages\Microsoft.Windows.Photos_8wekyb3d8bbwe\TempState\ShareServiceTempFolder\2025-10-07_16-38-01.jpeg"/>
                        <pic:cNvPicPr>
                          <a:picLocks noChangeAspect="1"/>
                        </pic:cNvPicPr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6290754" cy="22335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89.00pt;height:173.62pt;mso-wrap-distance-left:0.00pt;mso-wrap-distance-top:0.00pt;mso-wrap-distance-right:0.00pt;mso-wrap-distance-bottom:0.00pt;" stroked="f">
                <v:path textboxrect="0,0,0,0"/>
                <v:imagedata r:id="rId21" o:title=""/>
              </v:shape>
            </w:pict>
          </mc:Fallback>
        </mc:AlternateContent>
      </w:r>
    </w:p>
    <w:p w:rsidR="00BD4558" w:rsidRDefault="008A4206">
      <w:pPr>
        <w:pStyle w:val="afe"/>
        <w:spacing w:before="0" w:beforeAutospacing="0" w:after="0" w:afterAutospacing="0"/>
        <w:jc w:val="center"/>
        <w:rPr>
          <w:rFonts w:eastAsiaTheme="minorHAnsi"/>
          <w:i/>
          <w:sz w:val="28"/>
          <w:szCs w:val="28"/>
          <w:lang w:eastAsia="en-US"/>
          <w14:ligatures w14:val="standardContextual"/>
        </w:rPr>
      </w:pPr>
      <w:r>
        <w:rPr>
          <w:rFonts w:eastAsiaTheme="minorHAnsi"/>
          <w:i/>
          <w:sz w:val="28"/>
          <w:szCs w:val="28"/>
          <w:lang w:eastAsia="en-US"/>
          <w14:ligatures w14:val="standardContextual"/>
        </w:rPr>
        <w:t>Рис.</w:t>
      </w:r>
      <w:r w:rsidR="00B760F5">
        <w:rPr>
          <w:rFonts w:eastAsiaTheme="minorHAnsi"/>
          <w:i/>
          <w:sz w:val="28"/>
          <w:szCs w:val="28"/>
          <w:lang w:eastAsia="en-US"/>
          <w14:ligatures w14:val="standardContextual"/>
        </w:rPr>
        <w:t xml:space="preserve"> </w:t>
      </w:r>
      <w:r>
        <w:rPr>
          <w:rFonts w:eastAsiaTheme="minorHAnsi"/>
          <w:i/>
          <w:sz w:val="28"/>
          <w:szCs w:val="28"/>
          <w:lang w:eastAsia="en-US"/>
          <w14:ligatures w14:val="standardContextual"/>
        </w:rPr>
        <w:t>5</w:t>
      </w:r>
      <w:r w:rsidR="00955898">
        <w:rPr>
          <w:rFonts w:eastAsiaTheme="minorHAnsi"/>
          <w:i/>
          <w:sz w:val="28"/>
          <w:szCs w:val="28"/>
          <w:lang w:eastAsia="en-US"/>
          <w14:ligatures w14:val="standardContextual"/>
        </w:rPr>
        <w:t>. Лонгитюдное социологическое исследование с двукратным опросо</w:t>
      </w:r>
      <w:r w:rsidR="00441CD5">
        <w:rPr>
          <w:rFonts w:eastAsiaTheme="minorHAnsi"/>
          <w:i/>
          <w:sz w:val="28"/>
          <w:szCs w:val="28"/>
          <w:lang w:eastAsia="en-US"/>
          <w14:ligatures w14:val="standardContextual"/>
        </w:rPr>
        <w:t>м д</w:t>
      </w:r>
      <w:r w:rsidR="007B64B7">
        <w:rPr>
          <w:rFonts w:eastAsiaTheme="minorHAnsi"/>
          <w:i/>
          <w:sz w:val="28"/>
          <w:szCs w:val="28"/>
          <w:lang w:eastAsia="en-US"/>
          <w14:ligatures w14:val="standardContextual"/>
        </w:rPr>
        <w:t>о и после внедрения комплексной</w:t>
      </w:r>
      <w:r w:rsidR="00955898">
        <w:rPr>
          <w:rFonts w:eastAsiaTheme="minorHAnsi"/>
          <w:i/>
          <w:sz w:val="28"/>
          <w:szCs w:val="28"/>
          <w:lang w:eastAsia="en-US"/>
          <w14:ligatures w14:val="standardContextual"/>
        </w:rPr>
        <w:t xml:space="preserve"> системы наставничества</w:t>
      </w:r>
    </w:p>
    <w:p w:rsidR="00BD4558" w:rsidRDefault="00BD4558">
      <w:pPr>
        <w:spacing w:after="0" w:line="348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D4558" w:rsidRDefault="009003D3">
      <w:pPr>
        <w:pStyle w:val="af1"/>
        <w:numPr>
          <w:ilvl w:val="0"/>
          <w:numId w:val="22"/>
        </w:numPr>
        <w:spacing w:after="0" w:line="33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молодых кандидатов наук</w:t>
      </w:r>
      <w:r w:rsidR="00EB6AB8">
        <w:rPr>
          <w:rFonts w:ascii="Times New Roman" w:hAnsi="Times New Roman" w:cs="Times New Roman"/>
          <w:sz w:val="28"/>
          <w:szCs w:val="28"/>
        </w:rPr>
        <w:t xml:space="preserve"> Центра – 6,</w:t>
      </w:r>
      <w:r w:rsidR="006753D0">
        <w:rPr>
          <w:rFonts w:ascii="Times New Roman" w:hAnsi="Times New Roman" w:cs="Times New Roman"/>
          <w:sz w:val="28"/>
          <w:szCs w:val="28"/>
        </w:rPr>
        <w:t xml:space="preserve"> а </w:t>
      </w:r>
      <w:r w:rsidR="00F43F8F">
        <w:rPr>
          <w:rFonts w:ascii="Times New Roman" w:hAnsi="Times New Roman" w:cs="Times New Roman"/>
          <w:sz w:val="28"/>
          <w:szCs w:val="28"/>
        </w:rPr>
        <w:t>также в</w:t>
      </w:r>
      <w:r w:rsidR="00EB6AB8">
        <w:rPr>
          <w:rFonts w:ascii="Times New Roman" w:hAnsi="Times New Roman" w:cs="Times New Roman"/>
          <w:sz w:val="28"/>
          <w:szCs w:val="28"/>
        </w:rPr>
        <w:t xml:space="preserve"> </w:t>
      </w:r>
      <w:r w:rsidR="00A43B2B">
        <w:rPr>
          <w:rFonts w:ascii="Times New Roman" w:hAnsi="Times New Roman" w:cs="Times New Roman"/>
          <w:sz w:val="28"/>
          <w:szCs w:val="28"/>
        </w:rPr>
        <w:t>Ц</w:t>
      </w:r>
      <w:r w:rsidR="00F43F8F">
        <w:rPr>
          <w:rFonts w:ascii="Times New Roman" w:hAnsi="Times New Roman" w:cs="Times New Roman"/>
          <w:sz w:val="28"/>
          <w:szCs w:val="28"/>
        </w:rPr>
        <w:t>ентре работают</w:t>
      </w:r>
      <w:r w:rsidR="00A43B2B">
        <w:rPr>
          <w:rFonts w:ascii="Times New Roman" w:hAnsi="Times New Roman" w:cs="Times New Roman"/>
          <w:sz w:val="28"/>
          <w:szCs w:val="28"/>
        </w:rPr>
        <w:t xml:space="preserve"> </w:t>
      </w:r>
      <w:r w:rsidR="00D0553D">
        <w:rPr>
          <w:rFonts w:ascii="Times New Roman" w:hAnsi="Times New Roman" w:cs="Times New Roman"/>
          <w:sz w:val="28"/>
          <w:szCs w:val="28"/>
        </w:rPr>
        <w:t xml:space="preserve">– </w:t>
      </w:r>
      <w:r w:rsidR="00EB6AB8">
        <w:rPr>
          <w:rFonts w:ascii="Times New Roman" w:hAnsi="Times New Roman" w:cs="Times New Roman"/>
          <w:sz w:val="28"/>
          <w:szCs w:val="28"/>
        </w:rPr>
        <w:t>4</w:t>
      </w:r>
      <w:r w:rsidR="00F43F8F">
        <w:rPr>
          <w:rFonts w:ascii="Times New Roman" w:hAnsi="Times New Roman" w:cs="Times New Roman"/>
          <w:sz w:val="28"/>
          <w:szCs w:val="28"/>
        </w:rPr>
        <w:t xml:space="preserve"> доктора наук</w:t>
      </w:r>
      <w:r w:rsidR="0095589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D4558" w:rsidRDefault="00955898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Качественные показатели:</w:t>
      </w:r>
    </w:p>
    <w:p w:rsidR="00BD4558" w:rsidRDefault="00955898">
      <w:pPr>
        <w:pStyle w:val="af1"/>
        <w:numPr>
          <w:ilvl w:val="0"/>
          <w:numId w:val="23"/>
        </w:numPr>
        <w:spacing w:after="0" w:line="33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Карьерный рост: 9 % сотрудников дирекции получили повышение и заняли руководящие должности, что свидетельствует о формировании кадрового резерва и сообщества молодых управленцев в сфере науки.</w:t>
      </w:r>
    </w:p>
    <w:p w:rsidR="00BD4558" w:rsidRDefault="00955898">
      <w:pPr>
        <w:pStyle w:val="af1"/>
        <w:numPr>
          <w:ilvl w:val="0"/>
          <w:numId w:val="23"/>
        </w:numPr>
        <w:spacing w:after="0" w:line="33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компетенций: 31 % сотрудников прошли дополнительное обучение (курсы по проектному управлению), что подчеркивает плановый подход к развитию кадрового потенциала и а</w:t>
      </w:r>
      <w:r w:rsidR="006433AA">
        <w:rPr>
          <w:rFonts w:ascii="Times New Roman" w:hAnsi="Times New Roman" w:cs="Times New Roman"/>
          <w:sz w:val="28"/>
          <w:szCs w:val="28"/>
        </w:rPr>
        <w:t xml:space="preserve">ктуализацию навыков </w:t>
      </w:r>
      <w:r>
        <w:rPr>
          <w:rFonts w:ascii="Times New Roman" w:hAnsi="Times New Roman" w:cs="Times New Roman"/>
          <w:sz w:val="28"/>
          <w:szCs w:val="28"/>
        </w:rPr>
        <w:t>в соответствии с современными требованиями.</w:t>
      </w:r>
    </w:p>
    <w:p w:rsidR="00BD4558" w:rsidRDefault="00955898">
      <w:pPr>
        <w:pStyle w:val="af1"/>
        <w:numPr>
          <w:ilvl w:val="0"/>
          <w:numId w:val="23"/>
        </w:numPr>
        <w:spacing w:after="0" w:line="33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Трансформация деятельности: произошел переход от научных исследований (НИР) к опытно-конструкторским работам (НИОКР), что привело к созданию собственного производства и выпуску 16 видов наукоемкой продукции (медицинские </w:t>
      </w:r>
      <w:r w:rsidRPr="00E023AD">
        <w:rPr>
          <w:rFonts w:ascii="Times New Roman" w:hAnsi="Times New Roman" w:cs="Times New Roman"/>
          <w:sz w:val="28"/>
          <w:szCs w:val="28"/>
        </w:rPr>
        <w:t>фантомы)</w:t>
      </w:r>
      <w:r w:rsidR="00E023AD" w:rsidRPr="00E023AD">
        <w:rPr>
          <w:rStyle w:val="a8"/>
          <w:rFonts w:ascii="Times New Roman" w:hAnsi="Times New Roman" w:cs="Times New Roman"/>
          <w:sz w:val="28"/>
          <w:szCs w:val="28"/>
        </w:rPr>
        <w:footnoteReference w:id="2"/>
      </w:r>
      <w:r w:rsidRPr="00E023A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Это является ярким примером ускоренного внедрения отечественных высокотехнологичных решений — одной из ключевых задач Концепции 2030.</w:t>
      </w:r>
    </w:p>
    <w:p w:rsidR="00BD4558" w:rsidRDefault="00955898">
      <w:pPr>
        <w:pStyle w:val="af1"/>
        <w:numPr>
          <w:ilvl w:val="0"/>
          <w:numId w:val="23"/>
        </w:numPr>
        <w:spacing w:after="0" w:line="33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Психологический климат (по данным опросов «Отношение к НИР и НИОКР», проведенных в </w:t>
      </w:r>
      <w:r w:rsidRPr="008A4206">
        <w:rPr>
          <w:rFonts w:ascii="Times New Roman" w:hAnsi="Times New Roman" w:cs="Times New Roman"/>
          <w:sz w:val="28"/>
          <w:szCs w:val="28"/>
        </w:rPr>
        <w:t>202</w:t>
      </w:r>
      <w:r w:rsidR="00D9186B" w:rsidRPr="008A4206">
        <w:rPr>
          <w:rFonts w:ascii="Times New Roman" w:hAnsi="Times New Roman" w:cs="Times New Roman"/>
          <w:sz w:val="28"/>
          <w:szCs w:val="28"/>
        </w:rPr>
        <w:t>2</w:t>
      </w:r>
      <w:r w:rsidR="00DE19E0">
        <w:rPr>
          <w:rFonts w:ascii="Times New Roman" w:hAnsi="Times New Roman" w:cs="Times New Roman"/>
          <w:sz w:val="28"/>
          <w:szCs w:val="28"/>
        </w:rPr>
        <w:t>–</w:t>
      </w:r>
      <w:r w:rsidRPr="008A4206">
        <w:rPr>
          <w:rFonts w:ascii="Times New Roman" w:hAnsi="Times New Roman" w:cs="Times New Roman"/>
          <w:sz w:val="28"/>
          <w:szCs w:val="28"/>
        </w:rPr>
        <w:t>2024</w:t>
      </w:r>
      <w:r>
        <w:rPr>
          <w:rFonts w:ascii="Times New Roman" w:hAnsi="Times New Roman" w:cs="Times New Roman"/>
          <w:sz w:val="28"/>
          <w:szCs w:val="28"/>
        </w:rPr>
        <w:t xml:space="preserve"> гг. в Центре</w:t>
      </w:r>
      <w:r w:rsidR="00E023AD">
        <w:rPr>
          <w:rStyle w:val="a8"/>
          <w:rFonts w:ascii="Times New Roman" w:hAnsi="Times New Roman" w:cs="Times New Roman"/>
          <w:sz w:val="28"/>
          <w:szCs w:val="28"/>
        </w:rPr>
        <w:footnoteReference w:id="3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4206">
        <w:rPr>
          <w:rFonts w:ascii="Times New Roman" w:hAnsi="Times New Roman" w:cs="Times New Roman"/>
          <w:sz w:val="28"/>
          <w:szCs w:val="28"/>
        </w:rPr>
        <w:t>(рис. 6</w:t>
      </w:r>
      <w:r>
        <w:rPr>
          <w:rFonts w:ascii="Times New Roman" w:hAnsi="Times New Roman" w:cs="Times New Roman"/>
          <w:sz w:val="28"/>
          <w:szCs w:val="28"/>
        </w:rPr>
        <w:t>)</w:t>
      </w:r>
      <w:r w:rsidR="00B760F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D4558" w:rsidRDefault="00955898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1) уровень психологического комфорта ученых — 96 % (прирост 19 % с 2023 г.).</w:t>
      </w:r>
    </w:p>
    <w:p w:rsidR="00BD4558" w:rsidRDefault="00955898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уровень вовлеченности в реализацию научных планов — 98 % (прирост 10 % с 2023 г.).</w:t>
      </w:r>
    </w:p>
    <w:p w:rsidR="00BD4558" w:rsidRDefault="00955898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уровень уверенности в успешной реализации планов — 98 % (прирост 6 % с 2023 г.).</w:t>
      </w:r>
    </w:p>
    <w:p w:rsidR="00BD4558" w:rsidRDefault="00955898">
      <w:pPr>
        <w:spacing w:after="0" w:line="34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5999706" cy="2352675"/>
                <wp:effectExtent l="0" t="0" r="1270" b="0"/>
                <wp:docPr id="6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Рисунок 22"/>
                        <pic:cNvPicPr>
                          <a:picLocks noChangeAspect="1"/>
                        </pic:cNvPicPr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6052744" cy="237347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72.42pt;height:185.25pt;mso-wrap-distance-left:0.00pt;mso-wrap-distance-top:0.00pt;mso-wrap-distance-right:0.00pt;mso-wrap-distance-bottom:0.00pt;" stroked="f">
                <v:path textboxrect="0,0,0,0"/>
                <v:imagedata r:id="rId24" o:title=""/>
              </v:shape>
            </w:pict>
          </mc:Fallback>
        </mc:AlternateContent>
      </w:r>
    </w:p>
    <w:p w:rsidR="00BD4558" w:rsidRPr="00D9186B" w:rsidRDefault="008A4206" w:rsidP="00D9186B">
      <w:pPr>
        <w:spacing w:after="0" w:line="348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Рис. 6</w:t>
      </w:r>
      <w:r w:rsidR="00955898">
        <w:rPr>
          <w:rFonts w:ascii="Times New Roman" w:hAnsi="Times New Roman" w:cs="Times New Roman"/>
          <w:i/>
          <w:sz w:val="28"/>
          <w:szCs w:val="28"/>
        </w:rPr>
        <w:t>. Отношение сотрудников к изменениям</w:t>
      </w:r>
    </w:p>
    <w:p w:rsidR="00B760F5" w:rsidRDefault="00B760F5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4558" w:rsidRDefault="00955898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Высокие показатели психологического комфорта и вовлеченности напрямую отражают успешность института наставничества, создающего благоприятную среду для самореализации и профессионального роста молодых специалистов, что, в свою очередь, способствует удержанию талантов в российской науке.</w:t>
      </w:r>
    </w:p>
    <w:p w:rsidR="00BD4558" w:rsidRDefault="00955898">
      <w:pPr>
        <w:widowControl w:val="0"/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 результаты подтверждают, что созданная среда наставничества не только способствует удержанию и развитию кадров, но и напрямую влияет на научную продуктивность и инновационный потенциал организации, делая наш Центр активным участником реализации национальных приоритетов в сфере науки и технологий.</w:t>
      </w:r>
    </w:p>
    <w:p w:rsidR="00BD4558" w:rsidRDefault="00955898">
      <w:pPr>
        <w:pStyle w:val="1"/>
        <w:rPr>
          <w:rStyle w:val="ae"/>
          <w:rFonts w:ascii="Times New Roman" w:hAnsi="Times New Roman"/>
          <w:spacing w:val="0"/>
          <w:sz w:val="28"/>
          <w:szCs w:val="40"/>
        </w:rPr>
      </w:pPr>
      <w:bookmarkStart w:id="5" w:name="_Toc210834346"/>
      <w:r>
        <w:lastRenderedPageBreak/>
        <w:t>ЗАКЛЮЧЕНИЕ</w:t>
      </w:r>
      <w:bookmarkEnd w:id="5"/>
    </w:p>
    <w:p w:rsidR="00BD4558" w:rsidRDefault="00BD455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D4558" w:rsidRDefault="009558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по созданию развивающей среды в ГБУЗ «НПКЦ ДиТ ДЗМ» доказал свою эффективность как комплексная и устойчивая система наставничества. Нам удалось решить ключевые вызовы, стоящие перед молодыми учеными, и сформировать условия, в которых каждый сотрудник, от студента-практиканта до ведущего научного сотрудника, чувствует себя частью команды, видит перспективы роста и обладает всеми необходимыми инструментами для реализации своего потенциала. Наша работа в полной мере согласуется с задачами Концепции технологического развития России до 2030 года и приоритетами Национального проекта «Молодежь и дети», способствуя формированию конкурентоспособной научной школы и развитию отечественного высокотехнологичного здравоохранения.</w:t>
      </w:r>
    </w:p>
    <w:p w:rsidR="00BD4558" w:rsidRDefault="009558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модель, сочетающая инфраструктурную, цифровую, методологическую и культурную составляющие, является не только уникальной для сферы медицинских наук, но и легко тиражируемой. Мы уверены, что наш опыт может быть полезен другим научным и образовательным организациям России, стремящимся к созданию эффективной системы наставничества и развитию своего кадрового потенциала. Мы готовы делиться накопленным опытом для содействия дальнейшему развитию института наставничества в стране, тем самым внося свой вклад в достижение стратегических целей по научно-технологическому суверенитету и благополучию граждан.</w:t>
      </w:r>
    </w:p>
    <w:p w:rsidR="00BD4558" w:rsidRDefault="00BD45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4558" w:rsidRDefault="00BD45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4558" w:rsidRDefault="00BD4558">
      <w:pPr>
        <w:rPr>
          <w:rFonts w:ascii="Times New Roman" w:hAnsi="Times New Roman" w:cs="Times New Roman"/>
          <w:sz w:val="28"/>
          <w:szCs w:val="28"/>
        </w:rPr>
      </w:pPr>
    </w:p>
    <w:sectPr w:rsidR="00BD4558">
      <w:footerReference w:type="default" r:id="rId25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2FBA" w:rsidRDefault="001E2FBA">
      <w:pPr>
        <w:spacing w:after="0" w:line="240" w:lineRule="auto"/>
      </w:pPr>
      <w:r>
        <w:separator/>
      </w:r>
    </w:p>
  </w:endnote>
  <w:endnote w:type="continuationSeparator" w:id="0">
    <w:p w:rsidR="001E2FBA" w:rsidRDefault="001E2F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737444"/>
      <w:docPartObj>
        <w:docPartGallery w:val="Page Numbers (Bottom of Page)"/>
        <w:docPartUnique/>
      </w:docPartObj>
    </w:sdtPr>
    <w:sdtEndPr/>
    <w:sdtContent>
      <w:p w:rsidR="00BD4558" w:rsidRDefault="00955898">
        <w:pPr>
          <w:pStyle w:val="af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670A">
          <w:rPr>
            <w:noProof/>
          </w:rPr>
          <w:t>17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2FBA" w:rsidRDefault="001E2FBA">
      <w:pPr>
        <w:spacing w:after="0" w:line="240" w:lineRule="auto"/>
      </w:pPr>
      <w:r>
        <w:separator/>
      </w:r>
    </w:p>
  </w:footnote>
  <w:footnote w:type="continuationSeparator" w:id="0">
    <w:p w:rsidR="001E2FBA" w:rsidRDefault="001E2FBA">
      <w:pPr>
        <w:spacing w:after="0" w:line="240" w:lineRule="auto"/>
      </w:pPr>
      <w:r>
        <w:continuationSeparator/>
      </w:r>
    </w:p>
  </w:footnote>
  <w:footnote w:id="1">
    <w:p w:rsidR="00DE19E0" w:rsidRPr="00DE19E0" w:rsidRDefault="00DE19E0" w:rsidP="00DE19E0">
      <w:pPr>
        <w:pStyle w:val="a6"/>
        <w:ind w:firstLine="709"/>
        <w:jc w:val="both"/>
        <w:rPr>
          <w:sz w:val="20"/>
          <w:szCs w:val="20"/>
        </w:rPr>
      </w:pPr>
      <w:r w:rsidRPr="00DE19E0">
        <w:rPr>
          <w:rStyle w:val="a8"/>
          <w:sz w:val="20"/>
          <w:szCs w:val="20"/>
        </w:rPr>
        <w:footnoteRef/>
      </w:r>
      <w:r w:rsidRPr="00DE19E0">
        <w:rPr>
          <w:sz w:val="20"/>
          <w:szCs w:val="20"/>
        </w:rPr>
        <w:t xml:space="preserve"> </w:t>
      </w:r>
      <w:r w:rsidRPr="00DE19E0">
        <w:rPr>
          <w:rFonts w:ascii="Times New Roman" w:hAnsi="Times New Roman" w:cs="Times New Roman"/>
          <w:sz w:val="20"/>
          <w:szCs w:val="20"/>
        </w:rPr>
        <w:t>О. В. Омелянская, Ю. А. Васильев, Л. Д. Пестренин, А. В. Владзимирский // Труд и социальные отношения. – 2025. – Т. 36, № 1. – С. 80-92. – DOI 10.20410/2073-7815-2025-36-1-80-92</w:t>
      </w:r>
      <w:r w:rsidR="00E023AD">
        <w:rPr>
          <w:rFonts w:ascii="Times New Roman" w:hAnsi="Times New Roman" w:cs="Times New Roman"/>
          <w:sz w:val="20"/>
          <w:szCs w:val="20"/>
        </w:rPr>
        <w:t>.</w:t>
      </w:r>
    </w:p>
  </w:footnote>
  <w:footnote w:id="2">
    <w:p w:rsidR="00E023AD" w:rsidRDefault="00E023AD" w:rsidP="00E023AD">
      <w:pPr>
        <w:pStyle w:val="a6"/>
        <w:ind w:firstLine="709"/>
        <w:jc w:val="both"/>
      </w:pPr>
      <w:r w:rsidRPr="00E023AD">
        <w:rPr>
          <w:rStyle w:val="a8"/>
        </w:rPr>
        <w:footnoteRef/>
      </w:r>
      <w:r w:rsidRPr="00E023AD">
        <w:t xml:space="preserve"> </w:t>
      </w:r>
      <w:r w:rsidRPr="00E023AD">
        <w:rPr>
          <w:rFonts w:ascii="Times New Roman" w:hAnsi="Times New Roman" w:cs="Times New Roman"/>
          <w:sz w:val="20"/>
          <w:szCs w:val="20"/>
        </w:rPr>
        <w:t>О. В. Омелянская, Ю. А. Васильев, Л. Д. Пестренин, А. В. Владзимирский // Труд и социальные отношения. – 2025. – Т. 36, № 1. – С. 80-92. – DOI 10.20410/2073-7815-2025-36-1-80-92</w:t>
      </w:r>
      <w:r>
        <w:rPr>
          <w:rFonts w:ascii="Times New Roman" w:hAnsi="Times New Roman" w:cs="Times New Roman"/>
          <w:sz w:val="20"/>
          <w:szCs w:val="20"/>
        </w:rPr>
        <w:t>.</w:t>
      </w:r>
    </w:p>
  </w:footnote>
  <w:footnote w:id="3">
    <w:p w:rsidR="00E023AD" w:rsidRPr="00E023AD" w:rsidRDefault="00E023AD" w:rsidP="00E023AD">
      <w:pPr>
        <w:pStyle w:val="a6"/>
        <w:ind w:firstLine="709"/>
        <w:jc w:val="both"/>
        <w:rPr>
          <w:sz w:val="20"/>
          <w:szCs w:val="20"/>
        </w:rPr>
      </w:pPr>
      <w:r w:rsidRPr="00E023AD">
        <w:rPr>
          <w:rStyle w:val="a8"/>
          <w:sz w:val="20"/>
          <w:szCs w:val="20"/>
        </w:rPr>
        <w:footnoteRef/>
      </w:r>
      <w:r w:rsidRPr="00E023AD">
        <w:rPr>
          <w:sz w:val="20"/>
          <w:szCs w:val="20"/>
        </w:rPr>
        <w:t xml:space="preserve"> </w:t>
      </w:r>
      <w:r w:rsidRPr="00E023AD">
        <w:rPr>
          <w:rFonts w:ascii="Times New Roman" w:hAnsi="Times New Roman" w:cs="Times New Roman"/>
          <w:sz w:val="20"/>
          <w:szCs w:val="20"/>
        </w:rPr>
        <w:t>Оценка эффекта от внедрения комплексного подхода к управлению при переходе научно-практического учреждения к выполнению опытно-конструкторских работ / О. В. Омелянская, Ю. А. Васильев, Л. Д. Пестренин, А. В. Владзимирский // Управление наукой: теори</w:t>
      </w:r>
      <w:r w:rsidR="00616B07">
        <w:rPr>
          <w:rFonts w:ascii="Times New Roman" w:hAnsi="Times New Roman" w:cs="Times New Roman"/>
          <w:sz w:val="20"/>
          <w:szCs w:val="20"/>
        </w:rPr>
        <w:t>я и практика. – 2024. – Т. 6, № </w:t>
      </w:r>
      <w:r w:rsidRPr="00E023AD">
        <w:rPr>
          <w:rFonts w:ascii="Times New Roman" w:hAnsi="Times New Roman" w:cs="Times New Roman"/>
          <w:sz w:val="20"/>
          <w:szCs w:val="20"/>
        </w:rPr>
        <w:t xml:space="preserve">3. – С. 143-162. – </w:t>
      </w:r>
      <w:hyperlink r:id="rId1" w:tooltip="file:///C:\Users\SosinaMA\Desktop\Кадры\DOI%2010.19181\smtp.2024.6.3.11" w:history="1">
        <w:r w:rsidRPr="00E023AD">
          <w:rPr>
            <w:rStyle w:val="afb"/>
            <w:rFonts w:ascii="Times New Roman" w:hAnsi="Times New Roman" w:cs="Times New Roman"/>
            <w:color w:val="auto"/>
            <w:sz w:val="20"/>
            <w:szCs w:val="20"/>
            <w:u w:val="none"/>
          </w:rPr>
          <w:t>DOI 10.19181/smtp.2024.6.3.11</w:t>
        </w:r>
      </w:hyperlink>
      <w:r w:rsidR="00B760F5">
        <w:rPr>
          <w:rFonts w:ascii="Times New Roman" w:hAnsi="Times New Roman" w:cs="Times New Roman"/>
          <w:sz w:val="20"/>
          <w:szCs w:val="20"/>
        </w:rPr>
        <w:t xml:space="preserve"> (</w:t>
      </w:r>
      <w:r w:rsidRPr="00E023AD">
        <w:rPr>
          <w:rFonts w:ascii="Times New Roman" w:hAnsi="Times New Roman" w:cs="Times New Roman"/>
          <w:sz w:val="20"/>
          <w:szCs w:val="20"/>
        </w:rPr>
        <w:t>результаты опроса 2024 года на момент подготовки заявки не опубликованы</w:t>
      </w:r>
      <w:r w:rsidR="00B760F5">
        <w:rPr>
          <w:rFonts w:ascii="Times New Roman" w:hAnsi="Times New Roman" w:cs="Times New Roman"/>
          <w:sz w:val="20"/>
          <w:szCs w:val="20"/>
        </w:rPr>
        <w:t>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F5708"/>
    <w:multiLevelType w:val="hybridMultilevel"/>
    <w:tmpl w:val="5038F04C"/>
    <w:lvl w:ilvl="0" w:tplc="200829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99CEDEB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F66DB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76709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756B7E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EFCA0C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656C7A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3C184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16273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0C788E"/>
    <w:multiLevelType w:val="hybridMultilevel"/>
    <w:tmpl w:val="5EC8AC82"/>
    <w:lvl w:ilvl="0" w:tplc="9C5624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6B0DE94">
      <w:start w:val="1"/>
      <w:numFmt w:val="lowerLetter"/>
      <w:lvlText w:val="%2."/>
      <w:lvlJc w:val="left"/>
      <w:pPr>
        <w:ind w:left="1440" w:hanging="360"/>
      </w:pPr>
    </w:lvl>
    <w:lvl w:ilvl="2" w:tplc="518A7F72">
      <w:start w:val="1"/>
      <w:numFmt w:val="lowerRoman"/>
      <w:lvlText w:val="%3."/>
      <w:lvlJc w:val="right"/>
      <w:pPr>
        <w:ind w:left="2160" w:hanging="180"/>
      </w:pPr>
    </w:lvl>
    <w:lvl w:ilvl="3" w:tplc="B4E09FE8">
      <w:start w:val="1"/>
      <w:numFmt w:val="decimal"/>
      <w:lvlText w:val="%4."/>
      <w:lvlJc w:val="left"/>
      <w:pPr>
        <w:ind w:left="2880" w:hanging="360"/>
      </w:pPr>
    </w:lvl>
    <w:lvl w:ilvl="4" w:tplc="0E4E389A">
      <w:start w:val="1"/>
      <w:numFmt w:val="lowerLetter"/>
      <w:lvlText w:val="%5."/>
      <w:lvlJc w:val="left"/>
      <w:pPr>
        <w:ind w:left="3600" w:hanging="360"/>
      </w:pPr>
    </w:lvl>
    <w:lvl w:ilvl="5" w:tplc="CA50E704">
      <w:start w:val="1"/>
      <w:numFmt w:val="lowerRoman"/>
      <w:lvlText w:val="%6."/>
      <w:lvlJc w:val="right"/>
      <w:pPr>
        <w:ind w:left="4320" w:hanging="180"/>
      </w:pPr>
    </w:lvl>
    <w:lvl w:ilvl="6" w:tplc="49C0D832">
      <w:start w:val="1"/>
      <w:numFmt w:val="decimal"/>
      <w:lvlText w:val="%7."/>
      <w:lvlJc w:val="left"/>
      <w:pPr>
        <w:ind w:left="5040" w:hanging="360"/>
      </w:pPr>
    </w:lvl>
    <w:lvl w:ilvl="7" w:tplc="9FB449D2">
      <w:start w:val="1"/>
      <w:numFmt w:val="lowerLetter"/>
      <w:lvlText w:val="%8."/>
      <w:lvlJc w:val="left"/>
      <w:pPr>
        <w:ind w:left="5760" w:hanging="360"/>
      </w:pPr>
    </w:lvl>
    <w:lvl w:ilvl="8" w:tplc="6A5CB744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8B1E55"/>
    <w:multiLevelType w:val="hybridMultilevel"/>
    <w:tmpl w:val="A7A0229A"/>
    <w:lvl w:ilvl="0" w:tplc="D29090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C1E9DF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69CAC12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B792DC4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548C7D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F3E03C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08EF77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F72C0E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9F2D87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DB36BC"/>
    <w:multiLevelType w:val="hybridMultilevel"/>
    <w:tmpl w:val="2FECD3B2"/>
    <w:lvl w:ilvl="0" w:tplc="E0A01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ED05C10">
      <w:start w:val="1"/>
      <w:numFmt w:val="lowerLetter"/>
      <w:lvlText w:val="%2."/>
      <w:lvlJc w:val="left"/>
      <w:pPr>
        <w:ind w:left="1440" w:hanging="360"/>
      </w:pPr>
    </w:lvl>
    <w:lvl w:ilvl="2" w:tplc="43BA971E">
      <w:start w:val="1"/>
      <w:numFmt w:val="lowerRoman"/>
      <w:lvlText w:val="%3."/>
      <w:lvlJc w:val="right"/>
      <w:pPr>
        <w:ind w:left="2160" w:hanging="180"/>
      </w:pPr>
    </w:lvl>
    <w:lvl w:ilvl="3" w:tplc="D7F0D15E">
      <w:start w:val="1"/>
      <w:numFmt w:val="decimal"/>
      <w:lvlText w:val="%4."/>
      <w:lvlJc w:val="left"/>
      <w:pPr>
        <w:ind w:left="2880" w:hanging="360"/>
      </w:pPr>
    </w:lvl>
    <w:lvl w:ilvl="4" w:tplc="C46E3614">
      <w:start w:val="1"/>
      <w:numFmt w:val="lowerLetter"/>
      <w:lvlText w:val="%5."/>
      <w:lvlJc w:val="left"/>
      <w:pPr>
        <w:ind w:left="3600" w:hanging="360"/>
      </w:pPr>
    </w:lvl>
    <w:lvl w:ilvl="5" w:tplc="2FE834AA">
      <w:start w:val="1"/>
      <w:numFmt w:val="lowerRoman"/>
      <w:lvlText w:val="%6."/>
      <w:lvlJc w:val="right"/>
      <w:pPr>
        <w:ind w:left="4320" w:hanging="180"/>
      </w:pPr>
    </w:lvl>
    <w:lvl w:ilvl="6" w:tplc="E586096C">
      <w:start w:val="1"/>
      <w:numFmt w:val="decimal"/>
      <w:lvlText w:val="%7."/>
      <w:lvlJc w:val="left"/>
      <w:pPr>
        <w:ind w:left="5040" w:hanging="360"/>
      </w:pPr>
    </w:lvl>
    <w:lvl w:ilvl="7" w:tplc="B1D01070">
      <w:start w:val="1"/>
      <w:numFmt w:val="lowerLetter"/>
      <w:lvlText w:val="%8."/>
      <w:lvlJc w:val="left"/>
      <w:pPr>
        <w:ind w:left="5760" w:hanging="360"/>
      </w:pPr>
    </w:lvl>
    <w:lvl w:ilvl="8" w:tplc="12C08FA4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3A118B"/>
    <w:multiLevelType w:val="hybridMultilevel"/>
    <w:tmpl w:val="66983F6C"/>
    <w:lvl w:ilvl="0" w:tplc="6E3C7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F626F70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9CA84B9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BDA78A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CE17C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E8B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FD01DA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87AF45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E2A863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EF3C4F"/>
    <w:multiLevelType w:val="hybridMultilevel"/>
    <w:tmpl w:val="ACB07F6A"/>
    <w:lvl w:ilvl="0" w:tplc="9E40868A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E4AA08FE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9388D68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414C4AA6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4862434C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4868289A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2560412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7A88258C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D3C0F4AA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511343A"/>
    <w:multiLevelType w:val="hybridMultilevel"/>
    <w:tmpl w:val="93FCA4E0"/>
    <w:lvl w:ilvl="0" w:tplc="C00C2A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2DC679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1D2EDF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5CAA87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1A044B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02ED3B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45828A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6A8ADA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812630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9E454B3"/>
    <w:multiLevelType w:val="hybridMultilevel"/>
    <w:tmpl w:val="1E7AB496"/>
    <w:lvl w:ilvl="0" w:tplc="6B3C70F0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D4C2BB6">
      <w:start w:val="1"/>
      <w:numFmt w:val="lowerLetter"/>
      <w:lvlText w:val="%2."/>
      <w:lvlJc w:val="left"/>
      <w:pPr>
        <w:ind w:left="4766" w:hanging="360"/>
      </w:pPr>
    </w:lvl>
    <w:lvl w:ilvl="2" w:tplc="515C9696">
      <w:start w:val="1"/>
      <w:numFmt w:val="lowerRoman"/>
      <w:lvlText w:val="%3."/>
      <w:lvlJc w:val="right"/>
      <w:pPr>
        <w:ind w:left="5486" w:hanging="180"/>
      </w:pPr>
    </w:lvl>
    <w:lvl w:ilvl="3" w:tplc="60006240">
      <w:start w:val="1"/>
      <w:numFmt w:val="decimal"/>
      <w:lvlText w:val="%4."/>
      <w:lvlJc w:val="left"/>
      <w:pPr>
        <w:ind w:left="6206" w:hanging="360"/>
      </w:pPr>
    </w:lvl>
    <w:lvl w:ilvl="4" w:tplc="93E094E0">
      <w:start w:val="1"/>
      <w:numFmt w:val="lowerLetter"/>
      <w:lvlText w:val="%5."/>
      <w:lvlJc w:val="left"/>
      <w:pPr>
        <w:ind w:left="6926" w:hanging="360"/>
      </w:pPr>
    </w:lvl>
    <w:lvl w:ilvl="5" w:tplc="FD8C7430">
      <w:start w:val="1"/>
      <w:numFmt w:val="lowerRoman"/>
      <w:lvlText w:val="%6."/>
      <w:lvlJc w:val="right"/>
      <w:pPr>
        <w:ind w:left="7646" w:hanging="180"/>
      </w:pPr>
    </w:lvl>
    <w:lvl w:ilvl="6" w:tplc="C1463ABC">
      <w:start w:val="1"/>
      <w:numFmt w:val="decimal"/>
      <w:lvlText w:val="%7."/>
      <w:lvlJc w:val="left"/>
      <w:pPr>
        <w:ind w:left="8366" w:hanging="360"/>
      </w:pPr>
    </w:lvl>
    <w:lvl w:ilvl="7" w:tplc="B3E87E56">
      <w:start w:val="1"/>
      <w:numFmt w:val="lowerLetter"/>
      <w:lvlText w:val="%8."/>
      <w:lvlJc w:val="left"/>
      <w:pPr>
        <w:ind w:left="9086" w:hanging="360"/>
      </w:pPr>
    </w:lvl>
    <w:lvl w:ilvl="8" w:tplc="2726508A">
      <w:start w:val="1"/>
      <w:numFmt w:val="lowerRoman"/>
      <w:lvlText w:val="%9."/>
      <w:lvlJc w:val="right"/>
      <w:pPr>
        <w:ind w:left="9806" w:hanging="180"/>
      </w:pPr>
    </w:lvl>
  </w:abstractNum>
  <w:abstractNum w:abstractNumId="8" w15:restartNumberingAfterBreak="0">
    <w:nsid w:val="2E647DF3"/>
    <w:multiLevelType w:val="hybridMultilevel"/>
    <w:tmpl w:val="671E6A96"/>
    <w:lvl w:ilvl="0" w:tplc="921A56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AAAEE3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CE64E6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8A6189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7647F5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34AD52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C60A53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1C34A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9406A4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4055E12"/>
    <w:multiLevelType w:val="hybridMultilevel"/>
    <w:tmpl w:val="36187D16"/>
    <w:lvl w:ilvl="0" w:tplc="22321F9C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EF12327A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ED2620C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5169188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B22014A0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931E53E8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7932EF74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B5C6E3CC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8EA61206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75B4A6F"/>
    <w:multiLevelType w:val="hybridMultilevel"/>
    <w:tmpl w:val="A776E3D2"/>
    <w:lvl w:ilvl="0" w:tplc="6F22FF22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57F00D26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A7365C50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E1D6817A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BE64785E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22E79AC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478AE67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D08E7314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D0812A0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98A7AAC"/>
    <w:multiLevelType w:val="hybridMultilevel"/>
    <w:tmpl w:val="EC08AC1C"/>
    <w:lvl w:ilvl="0" w:tplc="2FCAB6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6A001CC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4880D7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B688A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3A6C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D7860F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6C25F8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22DC1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C12C0C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835350B"/>
    <w:multiLevelType w:val="hybridMultilevel"/>
    <w:tmpl w:val="5082232A"/>
    <w:lvl w:ilvl="0" w:tplc="47D65F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2262B6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5324FE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2F6F9B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2E2676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66066F1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E1850C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A5C4BF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1B0EC6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B2F701E"/>
    <w:multiLevelType w:val="hybridMultilevel"/>
    <w:tmpl w:val="F836B26E"/>
    <w:lvl w:ilvl="0" w:tplc="9DDA2A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6689150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11EE26B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D28259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A08C2F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CE0909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3C664D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2AECF3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EE5D2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CB72C35"/>
    <w:multiLevelType w:val="hybridMultilevel"/>
    <w:tmpl w:val="4C9C9646"/>
    <w:lvl w:ilvl="0" w:tplc="732850C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524FE7E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E43EDC4E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BE2AD4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88885416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3A6AED4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76168C52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B4968848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C14895D0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38E0A9D"/>
    <w:multiLevelType w:val="hybridMultilevel"/>
    <w:tmpl w:val="DA8CB7C4"/>
    <w:lvl w:ilvl="0" w:tplc="4E7A2D6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5E49F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12D4CF9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D28EB6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080BC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E1AB53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754EF6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B96B93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DAE10F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4264ECA"/>
    <w:multiLevelType w:val="hybridMultilevel"/>
    <w:tmpl w:val="DAA8DB42"/>
    <w:lvl w:ilvl="0" w:tplc="F5A45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8F227E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A63E35B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19E88A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CB8363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81CC94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57EA04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D1A86D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26E2A2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430529D"/>
    <w:multiLevelType w:val="hybridMultilevel"/>
    <w:tmpl w:val="31F8832E"/>
    <w:lvl w:ilvl="0" w:tplc="0EE6E7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DF4964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5E78844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EFACBE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C90E2C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8BC06C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F22D01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74067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CFC66B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8E44282"/>
    <w:multiLevelType w:val="hybridMultilevel"/>
    <w:tmpl w:val="7930B574"/>
    <w:lvl w:ilvl="0" w:tplc="B4F8409A">
      <w:start w:val="1"/>
      <w:numFmt w:val="decimal"/>
      <w:lvlText w:val="%1)"/>
      <w:lvlJc w:val="left"/>
      <w:pPr>
        <w:ind w:left="502" w:hanging="360"/>
      </w:pPr>
      <w:rPr>
        <w:rFonts w:hint="default"/>
        <w:color w:val="auto"/>
      </w:rPr>
    </w:lvl>
    <w:lvl w:ilvl="1" w:tplc="BC28D5DE">
      <w:start w:val="1"/>
      <w:numFmt w:val="lowerLetter"/>
      <w:lvlText w:val="%2."/>
      <w:lvlJc w:val="left"/>
      <w:pPr>
        <w:ind w:left="1440" w:hanging="360"/>
      </w:pPr>
    </w:lvl>
    <w:lvl w:ilvl="2" w:tplc="5B3470CA">
      <w:start w:val="1"/>
      <w:numFmt w:val="lowerRoman"/>
      <w:lvlText w:val="%3."/>
      <w:lvlJc w:val="right"/>
      <w:pPr>
        <w:ind w:left="2160" w:hanging="180"/>
      </w:pPr>
    </w:lvl>
    <w:lvl w:ilvl="3" w:tplc="68B43CD2">
      <w:start w:val="1"/>
      <w:numFmt w:val="decimal"/>
      <w:lvlText w:val="%4."/>
      <w:lvlJc w:val="left"/>
      <w:pPr>
        <w:ind w:left="2880" w:hanging="360"/>
      </w:pPr>
    </w:lvl>
    <w:lvl w:ilvl="4" w:tplc="A2F8713E">
      <w:start w:val="1"/>
      <w:numFmt w:val="lowerLetter"/>
      <w:lvlText w:val="%5."/>
      <w:lvlJc w:val="left"/>
      <w:pPr>
        <w:ind w:left="3600" w:hanging="360"/>
      </w:pPr>
    </w:lvl>
    <w:lvl w:ilvl="5" w:tplc="C1C664CE">
      <w:start w:val="1"/>
      <w:numFmt w:val="lowerRoman"/>
      <w:lvlText w:val="%6."/>
      <w:lvlJc w:val="right"/>
      <w:pPr>
        <w:ind w:left="4320" w:hanging="180"/>
      </w:pPr>
    </w:lvl>
    <w:lvl w:ilvl="6" w:tplc="C36ED88C">
      <w:start w:val="1"/>
      <w:numFmt w:val="decimal"/>
      <w:lvlText w:val="%7."/>
      <w:lvlJc w:val="left"/>
      <w:pPr>
        <w:ind w:left="5040" w:hanging="360"/>
      </w:pPr>
    </w:lvl>
    <w:lvl w:ilvl="7" w:tplc="088C60C8">
      <w:start w:val="1"/>
      <w:numFmt w:val="lowerLetter"/>
      <w:lvlText w:val="%8."/>
      <w:lvlJc w:val="left"/>
      <w:pPr>
        <w:ind w:left="5760" w:hanging="360"/>
      </w:pPr>
    </w:lvl>
    <w:lvl w:ilvl="8" w:tplc="4DA05912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742E16"/>
    <w:multiLevelType w:val="hybridMultilevel"/>
    <w:tmpl w:val="74B49458"/>
    <w:lvl w:ilvl="0" w:tplc="8AD0C2E8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CFAEDC5A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C781B4E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CE40FDCC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640FAB0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DB2CA748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0F633D8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58C4CC50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AD12F91C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6CC34E62"/>
    <w:multiLevelType w:val="hybridMultilevel"/>
    <w:tmpl w:val="95625350"/>
    <w:lvl w:ilvl="0" w:tplc="A52E40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51AA0F8">
      <w:start w:val="1"/>
      <w:numFmt w:val="lowerLetter"/>
      <w:lvlText w:val="%2."/>
      <w:lvlJc w:val="left"/>
      <w:pPr>
        <w:ind w:left="1440" w:hanging="360"/>
      </w:pPr>
    </w:lvl>
    <w:lvl w:ilvl="2" w:tplc="F9A022B4">
      <w:start w:val="1"/>
      <w:numFmt w:val="lowerRoman"/>
      <w:lvlText w:val="%3."/>
      <w:lvlJc w:val="right"/>
      <w:pPr>
        <w:ind w:left="2160" w:hanging="180"/>
      </w:pPr>
    </w:lvl>
    <w:lvl w:ilvl="3" w:tplc="949CBCBA">
      <w:start w:val="1"/>
      <w:numFmt w:val="decimal"/>
      <w:lvlText w:val="%4."/>
      <w:lvlJc w:val="left"/>
      <w:pPr>
        <w:ind w:left="2880" w:hanging="360"/>
      </w:pPr>
    </w:lvl>
    <w:lvl w:ilvl="4" w:tplc="D9F4FBD8">
      <w:start w:val="1"/>
      <w:numFmt w:val="lowerLetter"/>
      <w:lvlText w:val="%5."/>
      <w:lvlJc w:val="left"/>
      <w:pPr>
        <w:ind w:left="3600" w:hanging="360"/>
      </w:pPr>
    </w:lvl>
    <w:lvl w:ilvl="5" w:tplc="125CD602">
      <w:start w:val="1"/>
      <w:numFmt w:val="lowerRoman"/>
      <w:lvlText w:val="%6."/>
      <w:lvlJc w:val="right"/>
      <w:pPr>
        <w:ind w:left="4320" w:hanging="180"/>
      </w:pPr>
    </w:lvl>
    <w:lvl w:ilvl="6" w:tplc="8BFEF95E">
      <w:start w:val="1"/>
      <w:numFmt w:val="decimal"/>
      <w:lvlText w:val="%7."/>
      <w:lvlJc w:val="left"/>
      <w:pPr>
        <w:ind w:left="5040" w:hanging="360"/>
      </w:pPr>
    </w:lvl>
    <w:lvl w:ilvl="7" w:tplc="35A67D6C">
      <w:start w:val="1"/>
      <w:numFmt w:val="lowerLetter"/>
      <w:lvlText w:val="%8."/>
      <w:lvlJc w:val="left"/>
      <w:pPr>
        <w:ind w:left="5760" w:hanging="360"/>
      </w:pPr>
    </w:lvl>
    <w:lvl w:ilvl="8" w:tplc="0A0E0A36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BC7997"/>
    <w:multiLevelType w:val="hybridMultilevel"/>
    <w:tmpl w:val="B76679EC"/>
    <w:lvl w:ilvl="0" w:tplc="F8DA79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746537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3A6BCC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9FA9B3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B5E22D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1AC2035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CC87F2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2C44934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8CAFB8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6591195"/>
    <w:multiLevelType w:val="hybridMultilevel"/>
    <w:tmpl w:val="5D88AA12"/>
    <w:lvl w:ilvl="0" w:tplc="17C081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55E496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A34E9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96480D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BBEF1E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494362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9181D1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3C68EA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9C24A6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8"/>
  </w:num>
  <w:num w:numId="3">
    <w:abstractNumId w:val="16"/>
  </w:num>
  <w:num w:numId="4">
    <w:abstractNumId w:val="0"/>
  </w:num>
  <w:num w:numId="5">
    <w:abstractNumId w:val="17"/>
  </w:num>
  <w:num w:numId="6">
    <w:abstractNumId w:val="2"/>
  </w:num>
  <w:num w:numId="7">
    <w:abstractNumId w:val="22"/>
  </w:num>
  <w:num w:numId="8">
    <w:abstractNumId w:val="21"/>
  </w:num>
  <w:num w:numId="9">
    <w:abstractNumId w:val="12"/>
  </w:num>
  <w:num w:numId="10">
    <w:abstractNumId w:val="15"/>
  </w:num>
  <w:num w:numId="11">
    <w:abstractNumId w:val="20"/>
  </w:num>
  <w:num w:numId="12">
    <w:abstractNumId w:val="7"/>
  </w:num>
  <w:num w:numId="13">
    <w:abstractNumId w:val="18"/>
  </w:num>
  <w:num w:numId="14">
    <w:abstractNumId w:val="14"/>
  </w:num>
  <w:num w:numId="15">
    <w:abstractNumId w:val="1"/>
  </w:num>
  <w:num w:numId="16">
    <w:abstractNumId w:val="13"/>
  </w:num>
  <w:num w:numId="17">
    <w:abstractNumId w:val="3"/>
  </w:num>
  <w:num w:numId="18">
    <w:abstractNumId w:val="19"/>
  </w:num>
  <w:num w:numId="19">
    <w:abstractNumId w:val="4"/>
  </w:num>
  <w:num w:numId="20">
    <w:abstractNumId w:val="11"/>
  </w:num>
  <w:num w:numId="21">
    <w:abstractNumId w:val="9"/>
  </w:num>
  <w:num w:numId="22">
    <w:abstractNumId w:val="5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558"/>
    <w:rsid w:val="00041D66"/>
    <w:rsid w:val="00095D4E"/>
    <w:rsid w:val="001037FE"/>
    <w:rsid w:val="00111DCA"/>
    <w:rsid w:val="001602ED"/>
    <w:rsid w:val="00174354"/>
    <w:rsid w:val="00184EF8"/>
    <w:rsid w:val="001C3605"/>
    <w:rsid w:val="001E2FBA"/>
    <w:rsid w:val="003960CC"/>
    <w:rsid w:val="003C5A7E"/>
    <w:rsid w:val="003D628F"/>
    <w:rsid w:val="003E1CD6"/>
    <w:rsid w:val="003E3F01"/>
    <w:rsid w:val="003F65D4"/>
    <w:rsid w:val="004027EA"/>
    <w:rsid w:val="00441CD5"/>
    <w:rsid w:val="00461134"/>
    <w:rsid w:val="00483AEA"/>
    <w:rsid w:val="0049580E"/>
    <w:rsid w:val="004C2179"/>
    <w:rsid w:val="004F4A1F"/>
    <w:rsid w:val="00616B07"/>
    <w:rsid w:val="0062721C"/>
    <w:rsid w:val="006433AA"/>
    <w:rsid w:val="006753D0"/>
    <w:rsid w:val="00695966"/>
    <w:rsid w:val="00700FAF"/>
    <w:rsid w:val="007452B3"/>
    <w:rsid w:val="007701CA"/>
    <w:rsid w:val="00774BF4"/>
    <w:rsid w:val="00790A83"/>
    <w:rsid w:val="007B2ACF"/>
    <w:rsid w:val="007B64B7"/>
    <w:rsid w:val="00800611"/>
    <w:rsid w:val="0086510F"/>
    <w:rsid w:val="008851BE"/>
    <w:rsid w:val="008A4206"/>
    <w:rsid w:val="008F4E1A"/>
    <w:rsid w:val="008F527B"/>
    <w:rsid w:val="009003D3"/>
    <w:rsid w:val="00955898"/>
    <w:rsid w:val="009739FA"/>
    <w:rsid w:val="00994170"/>
    <w:rsid w:val="00A03A06"/>
    <w:rsid w:val="00A43B2B"/>
    <w:rsid w:val="00A73F80"/>
    <w:rsid w:val="00B12359"/>
    <w:rsid w:val="00B760F5"/>
    <w:rsid w:val="00BD4558"/>
    <w:rsid w:val="00C16491"/>
    <w:rsid w:val="00C24406"/>
    <w:rsid w:val="00C55EE7"/>
    <w:rsid w:val="00CA4188"/>
    <w:rsid w:val="00CB670A"/>
    <w:rsid w:val="00CF3446"/>
    <w:rsid w:val="00D0553D"/>
    <w:rsid w:val="00D146AA"/>
    <w:rsid w:val="00D2020F"/>
    <w:rsid w:val="00D9186B"/>
    <w:rsid w:val="00DE19E0"/>
    <w:rsid w:val="00E023AD"/>
    <w:rsid w:val="00E3306F"/>
    <w:rsid w:val="00EA0411"/>
    <w:rsid w:val="00EB6AB8"/>
    <w:rsid w:val="00EF3BD1"/>
    <w:rsid w:val="00F2065D"/>
    <w:rsid w:val="00F43F8F"/>
    <w:rsid w:val="00F579A3"/>
    <w:rsid w:val="00F74CE4"/>
    <w:rsid w:val="00F96880"/>
    <w:rsid w:val="00FA36B2"/>
    <w:rsid w:val="00FA4A83"/>
    <w:rsid w:val="00FB0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1516FD"/>
  <w15:docId w15:val="{9205DF58-DF71-A948-B41C-8AA4CEE9A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pageBreakBefore/>
      <w:spacing w:before="360" w:after="80" w:line="240" w:lineRule="auto"/>
      <w:jc w:val="center"/>
      <w:outlineLvl w:val="0"/>
    </w:pPr>
    <w:rPr>
      <w:rFonts w:ascii="Times New Roman" w:eastAsiaTheme="majorEastAsia" w:hAnsi="Times New Roman" w:cstheme="majorBidi"/>
      <w:b/>
      <w:sz w:val="28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3">
    <w:name w:val="caption"/>
    <w:basedOn w:val="a"/>
    <w:next w:val="a"/>
    <w:link w:val="a4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4">
    <w:name w:val="Название объекта Знак"/>
    <w:basedOn w:val="a0"/>
    <w:link w:val="a3"/>
    <w:uiPriority w:val="35"/>
    <w:rPr>
      <w:b/>
      <w:bCs/>
      <w:color w:val="4472C4" w:themeColor="accent1"/>
      <w:sz w:val="18"/>
      <w:szCs w:val="18"/>
    </w:rPr>
  </w:style>
  <w:style w:type="table" w:styleId="a5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1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6">
    <w:name w:val="footnote text"/>
    <w:basedOn w:val="a"/>
    <w:link w:val="a7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7">
    <w:name w:val="Текст сноски Знак"/>
    <w:link w:val="a6"/>
    <w:uiPriority w:val="99"/>
    <w:rPr>
      <w:sz w:val="18"/>
    </w:rPr>
  </w:style>
  <w:style w:type="character" w:styleId="a8">
    <w:name w:val="footnote reference"/>
    <w:basedOn w:val="a0"/>
    <w:uiPriority w:val="99"/>
    <w:unhideWhenUsed/>
    <w:rPr>
      <w:vertAlign w:val="superscript"/>
    </w:rPr>
  </w:style>
  <w:style w:type="paragraph" w:styleId="a9">
    <w:name w:val="endnote text"/>
    <w:basedOn w:val="a"/>
    <w:link w:val="aa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a">
    <w:name w:val="Текст концевой сноски Знак"/>
    <w:link w:val="a9"/>
    <w:uiPriority w:val="99"/>
    <w:rPr>
      <w:sz w:val="20"/>
    </w:rPr>
  </w:style>
  <w:style w:type="character" w:styleId="ab">
    <w:name w:val="endnote reference"/>
    <w:basedOn w:val="a0"/>
    <w:uiPriority w:val="99"/>
    <w:semiHidden/>
    <w:unhideWhenUsed/>
    <w:rPr>
      <w:vertAlign w:val="superscript"/>
    </w:rPr>
  </w:style>
  <w:style w:type="paragraph" w:styleId="22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c">
    <w:name w:val="table of figures"/>
    <w:basedOn w:val="a"/>
    <w:next w:val="a"/>
    <w:uiPriority w:val="99"/>
    <w:unhideWhenUsed/>
    <w:pPr>
      <w:spacing w:after="0"/>
    </w:pPr>
  </w:style>
  <w:style w:type="character" w:customStyle="1" w:styleId="10">
    <w:name w:val="Заголовок 1 Знак"/>
    <w:basedOn w:val="a0"/>
    <w:link w:val="1"/>
    <w:uiPriority w:val="9"/>
    <w:rPr>
      <w:rFonts w:ascii="Times New Roman" w:eastAsiaTheme="majorEastAsia" w:hAnsi="Times New Roman" w:cstheme="majorBidi"/>
      <w:b/>
      <w:sz w:val="28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Pr>
      <w:rFonts w:eastAsiaTheme="majorEastAsia" w:cstheme="majorBidi"/>
      <w:color w:val="272727" w:themeColor="text1" w:themeTint="D8"/>
    </w:rPr>
  </w:style>
  <w:style w:type="paragraph" w:styleId="ad">
    <w:name w:val="Title"/>
    <w:basedOn w:val="a"/>
    <w:next w:val="a"/>
    <w:link w:val="ae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e">
    <w:name w:val="Заголовок Знак"/>
    <w:basedOn w:val="a0"/>
    <w:link w:val="ad"/>
    <w:uiPriority w:val="10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f">
    <w:name w:val="Subtitle"/>
    <w:basedOn w:val="a"/>
    <w:next w:val="a"/>
    <w:link w:val="af0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f0">
    <w:name w:val="Подзаголовок Знак"/>
    <w:basedOn w:val="a0"/>
    <w:link w:val="af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3">
    <w:name w:val="Quote"/>
    <w:basedOn w:val="a"/>
    <w:next w:val="a"/>
    <w:link w:val="24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4">
    <w:name w:val="Цитата 2 Знак"/>
    <w:basedOn w:val="a0"/>
    <w:link w:val="23"/>
    <w:uiPriority w:val="29"/>
    <w:rPr>
      <w:i/>
      <w:iCs/>
      <w:color w:val="404040" w:themeColor="text1" w:themeTint="BF"/>
    </w:rPr>
  </w:style>
  <w:style w:type="paragraph" w:styleId="af1">
    <w:name w:val="List Paragraph"/>
    <w:basedOn w:val="a"/>
    <w:uiPriority w:val="34"/>
    <w:qFormat/>
    <w:pPr>
      <w:ind w:left="720"/>
      <w:contextualSpacing/>
    </w:pPr>
  </w:style>
  <w:style w:type="character" w:styleId="af2">
    <w:name w:val="Intense Emphasis"/>
    <w:basedOn w:val="a0"/>
    <w:uiPriority w:val="21"/>
    <w:qFormat/>
    <w:rPr>
      <w:i/>
      <w:iCs/>
      <w:color w:val="2F5496" w:themeColor="accent1" w:themeShade="BF"/>
    </w:rPr>
  </w:style>
  <w:style w:type="paragraph" w:styleId="af3">
    <w:name w:val="Intense Quote"/>
    <w:basedOn w:val="a"/>
    <w:next w:val="a"/>
    <w:link w:val="af4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f4">
    <w:name w:val="Выделенная цитата Знак"/>
    <w:basedOn w:val="a0"/>
    <w:link w:val="af3"/>
    <w:uiPriority w:val="30"/>
    <w:rPr>
      <w:i/>
      <w:iCs/>
      <w:color w:val="2F5496" w:themeColor="accent1" w:themeShade="BF"/>
    </w:rPr>
  </w:style>
  <w:style w:type="character" w:styleId="af5">
    <w:name w:val="Intense Reference"/>
    <w:basedOn w:val="a0"/>
    <w:uiPriority w:val="32"/>
    <w:qFormat/>
    <w:rPr>
      <w:b/>
      <w:bCs/>
      <w:smallCaps/>
      <w:color w:val="2F5496" w:themeColor="accent1" w:themeShade="BF"/>
      <w:spacing w:val="5"/>
    </w:r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</w:style>
  <w:style w:type="paragraph" w:styleId="afa">
    <w:name w:val="TOC Heading"/>
    <w:basedOn w:val="1"/>
    <w:next w:val="a"/>
    <w:uiPriority w:val="39"/>
    <w:unhideWhenUsed/>
    <w:qFormat/>
    <w:pPr>
      <w:spacing w:before="240" w:after="0"/>
      <w:outlineLvl w:val="9"/>
    </w:pPr>
    <w:rPr>
      <w:sz w:val="32"/>
      <w:szCs w:val="32"/>
      <w:lang w:eastAsia="ru-RU"/>
      <w14:ligatures w14:val="none"/>
    </w:r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fc">
    <w:name w:val="No Spacing"/>
    <w:uiPriority w:val="1"/>
    <w:qFormat/>
    <w:pPr>
      <w:spacing w:after="0" w:line="240" w:lineRule="auto"/>
    </w:pPr>
  </w:style>
  <w:style w:type="paragraph" w:styleId="12">
    <w:name w:val="toc 1"/>
    <w:basedOn w:val="a"/>
    <w:next w:val="a"/>
    <w:uiPriority w:val="39"/>
    <w:unhideWhenUsed/>
    <w:pPr>
      <w:spacing w:after="100"/>
    </w:pPr>
  </w:style>
  <w:style w:type="character" w:customStyle="1" w:styleId="docdata">
    <w:name w:val="docdata"/>
    <w:basedOn w:val="a0"/>
  </w:style>
  <w:style w:type="paragraph" w:customStyle="1" w:styleId="ds-markdown-paragraph">
    <w:name w:val="ds-markdown-paragraph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  <w14:ligatures w14:val="none"/>
    </w:rPr>
  </w:style>
  <w:style w:type="character" w:styleId="afd">
    <w:name w:val="Strong"/>
    <w:basedOn w:val="a0"/>
    <w:uiPriority w:val="22"/>
    <w:qFormat/>
    <w:rPr>
      <w:b/>
      <w:bCs/>
    </w:rPr>
  </w:style>
  <w:style w:type="paragraph" w:styleId="afe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  <w14:ligatures w14:val="none"/>
    </w:rPr>
  </w:style>
  <w:style w:type="paragraph" w:styleId="aff">
    <w:name w:val="Balloon Text"/>
    <w:basedOn w:val="a"/>
    <w:link w:val="aff0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0">
    <w:name w:val="Текст выноски Знак"/>
    <w:basedOn w:val="a0"/>
    <w:link w:val="aff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34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1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vernment.ru/news/48570/" TargetMode="External"/><Relationship Id="rId13" Type="http://schemas.openxmlformats.org/officeDocument/2006/relationships/image" Target="media/image10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50.jpg"/><Relationship Id="rId7" Type="http://schemas.openxmlformats.org/officeDocument/2006/relationships/endnotes" Target="endnotes.xml"/><Relationship Id="rId17" Type="http://schemas.openxmlformats.org/officeDocument/2006/relationships/image" Target="media/image6.jp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60.png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minobrnauki.gov.ru/nac_project/" TargetMode="External"/><Relationship Id="rId14" Type="http://schemas.openxmlformats.org/officeDocument/2006/relationships/image" Target="media/image3.jpg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SosinaMA\Desktop\&#1050;&#1072;&#1076;&#1088;&#1099;\DOI%2010.19181\smtp.2024.6.3.1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3384BA-9ED1-4BAA-A1D2-C596915A6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3194</Words>
  <Characters>18210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Сосин</dc:creator>
  <cp:keywords/>
  <dc:description/>
  <cp:lastModifiedBy>Сосина Мария Александровна</cp:lastModifiedBy>
  <cp:revision>4</cp:revision>
  <dcterms:created xsi:type="dcterms:W3CDTF">2025-10-10T11:33:00Z</dcterms:created>
  <dcterms:modified xsi:type="dcterms:W3CDTF">2025-10-10T11:50:00Z</dcterms:modified>
</cp:coreProperties>
</file>