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50" w:rsidRDefault="00FE2550" w:rsidP="00A30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0C36" w:rsidRPr="00A30C36" w:rsidRDefault="00A30C36" w:rsidP="00A30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3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3A5446" w:rsidRPr="00A30C36" w:rsidRDefault="00A30C36" w:rsidP="00A30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36">
        <w:rPr>
          <w:rFonts w:ascii="Times New Roman" w:hAnsi="Times New Roman" w:cs="Times New Roman"/>
          <w:b/>
          <w:sz w:val="28"/>
          <w:szCs w:val="28"/>
        </w:rPr>
        <w:t>«Университет пожилого человека»</w:t>
      </w:r>
    </w:p>
    <w:p w:rsidR="00D87FAF" w:rsidRPr="00F13D2B" w:rsidRDefault="00D87FAF" w:rsidP="00A30C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/>
      </w:tblPr>
      <w:tblGrid>
        <w:gridCol w:w="2801"/>
        <w:gridCol w:w="7478"/>
      </w:tblGrid>
      <w:tr w:rsidR="00E53AD3" w:rsidRPr="00A30C36" w:rsidTr="00173FFE">
        <w:trPr>
          <w:trHeight w:val="371"/>
        </w:trPr>
        <w:tc>
          <w:tcPr>
            <w:tcW w:w="2808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7506" w:type="dxa"/>
          </w:tcPr>
          <w:p w:rsidR="00E53AD3" w:rsidRPr="00A30C36" w:rsidRDefault="00BA0B34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пожилого человека 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803"/>
        <w:gridCol w:w="7476"/>
      </w:tblGrid>
      <w:tr w:rsidR="00E53AD3" w:rsidRPr="00A30C36" w:rsidTr="00607927">
        <w:tc>
          <w:tcPr>
            <w:tcW w:w="2808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br/>
              <w:t>о руководителе проекта (автор проекта)</w:t>
            </w:r>
          </w:p>
        </w:tc>
        <w:tc>
          <w:tcPr>
            <w:tcW w:w="7506" w:type="dxa"/>
          </w:tcPr>
          <w:p w:rsidR="00E53AD3" w:rsidRPr="00A30C36" w:rsidRDefault="00312E9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Тертышник</w:t>
            </w:r>
            <w:proofErr w:type="spellEnd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 - руководитель местной общественной приемной ВОО </w:t>
            </w:r>
            <w:r w:rsidR="00A30C36" w:rsidRPr="00A30C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A30C36" w:rsidRPr="00A30C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Союза женщин России, председатель профсоюзной организации Администрации Глушковского района, председатель общественного Совета Глушковского района, секретарь национальной Родительской ассоциации, председатель МО Глушковского района </w:t>
            </w:r>
            <w:r w:rsidR="00A30C36" w:rsidRPr="00A30C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Союз пенсионеров России </w:t>
            </w:r>
            <w:proofErr w:type="spellStart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им.И.Ф.Жукова</w:t>
            </w:r>
            <w:proofErr w:type="spellEnd"/>
            <w:r w:rsidR="00A30C36" w:rsidRPr="00A30C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803"/>
        <w:gridCol w:w="7476"/>
      </w:tblGrid>
      <w:tr w:rsidR="00E53AD3" w:rsidRPr="00A30C36" w:rsidTr="00607927">
        <w:tc>
          <w:tcPr>
            <w:tcW w:w="2808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3. Информация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br/>
              <w:t>о команде проекта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</w:tcPr>
          <w:p w:rsidR="00E53AD3" w:rsidRPr="00A30C36" w:rsidRDefault="00BA0B34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7ACB" w:rsidRPr="00A30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777"/>
        <w:gridCol w:w="7502"/>
      </w:tblGrid>
      <w:tr w:rsidR="00E53AD3" w:rsidRPr="00A30C36" w:rsidTr="00607927">
        <w:tc>
          <w:tcPr>
            <w:tcW w:w="2777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4. География проекта</w:t>
            </w:r>
          </w:p>
        </w:tc>
        <w:tc>
          <w:tcPr>
            <w:tcW w:w="7502" w:type="dxa"/>
          </w:tcPr>
          <w:p w:rsidR="00E53AD3" w:rsidRPr="00A30C36" w:rsidRDefault="00A30C36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13 муниципальных образований </w:t>
            </w:r>
            <w:r w:rsidR="00BA0B34" w:rsidRPr="00A30C36">
              <w:rPr>
                <w:rFonts w:ascii="Times New Roman" w:hAnsi="Times New Roman" w:cs="Times New Roman"/>
                <w:sz w:val="28"/>
                <w:szCs w:val="28"/>
              </w:rPr>
              <w:t>Глушковск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A0B34"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0B34"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778"/>
        <w:gridCol w:w="21"/>
        <w:gridCol w:w="7480"/>
      </w:tblGrid>
      <w:tr w:rsidR="00E53AD3" w:rsidRPr="00A30C36" w:rsidTr="00A30C36">
        <w:trPr>
          <w:trHeight w:val="834"/>
        </w:trPr>
        <w:tc>
          <w:tcPr>
            <w:tcW w:w="2778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5. Срок реализации проекта</w:t>
            </w:r>
          </w:p>
        </w:tc>
        <w:tc>
          <w:tcPr>
            <w:tcW w:w="7501" w:type="dxa"/>
            <w:gridSpan w:val="2"/>
          </w:tcPr>
          <w:p w:rsidR="00A30C36" w:rsidRDefault="00867ACB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Проект работает с 2013 года. </w:t>
            </w:r>
          </w:p>
          <w:p w:rsidR="00E53AD3" w:rsidRPr="00A30C36" w:rsidRDefault="00867ACB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Его реализация планируется и в </w:t>
            </w:r>
            <w:r w:rsidR="0061767A"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="0061767A"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53AD3" w:rsidRPr="00A30C36" w:rsidTr="00867ACB">
        <w:trPr>
          <w:trHeight w:val="1231"/>
        </w:trPr>
        <w:tc>
          <w:tcPr>
            <w:tcW w:w="2799" w:type="dxa"/>
            <w:gridSpan w:val="2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6. Краткая аннотация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E53AD3" w:rsidRPr="00A30C36" w:rsidRDefault="00312E9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процесс в Университете строится с учетом возрастных особенностей пожилых людей их талантов и увлечений. Занятия проводятся 1 раз в месяц согласно расписанию. Курс обучения 7 месяцев. Для реализации проекта в районе организовываются встречи с представителями различных служб и специалистами, которые могут научить пожилых людей компьютерной или финансовой грамотности, актерскому мастерству или сценической культуре, людьми, которые обучают ЗОЖ, различным видам спорта. По окончанию курса обучения выдается Свидетельство об окончании обучения.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Существует данный проект с 2013 года. Участники Университета представляют район в районных и областных спортивных соревнованиях и творческих конкурсах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A30C36" w:rsidTr="00A30C36">
        <w:trPr>
          <w:trHeight w:val="1247"/>
        </w:trPr>
        <w:tc>
          <w:tcPr>
            <w:tcW w:w="2800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7. Описание проблемы, решению/снижению остроты которой посвящен проект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9" w:type="dxa"/>
          </w:tcPr>
          <w:p w:rsidR="00A30C36" w:rsidRDefault="00867ACB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помогает пожилым людям почувствовать </w:t>
            </w:r>
            <w:proofErr w:type="spellStart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востребованность</w:t>
            </w:r>
            <w:proofErr w:type="spellEnd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, нужность и значимость. </w:t>
            </w:r>
          </w:p>
          <w:p w:rsidR="00E53AD3" w:rsidRPr="00A30C36" w:rsidRDefault="00867ACB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Благодаря общению они не чувствуют себя одинокими и забытыми.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795"/>
        <w:gridCol w:w="7484"/>
      </w:tblGrid>
      <w:tr w:rsidR="00E53AD3" w:rsidRPr="00A30C36" w:rsidTr="00607927">
        <w:tc>
          <w:tcPr>
            <w:tcW w:w="2802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8. Основные целевые группы, на которые направлен проект 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E53AD3" w:rsidRPr="00A30C36" w:rsidRDefault="00312E9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Жители Глушковского района в возрасте от 50 лет и старше 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801"/>
        <w:gridCol w:w="7478"/>
      </w:tblGrid>
      <w:tr w:rsidR="00E53AD3" w:rsidRPr="00A30C36" w:rsidTr="00607927">
        <w:tc>
          <w:tcPr>
            <w:tcW w:w="2808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9. Основная цель проекта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</w:tcPr>
          <w:p w:rsidR="00E53AD3" w:rsidRPr="00A30C36" w:rsidRDefault="00312E9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процесс бесплатного обучения людей пожилого возраста 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799"/>
        <w:gridCol w:w="7480"/>
      </w:tblGrid>
      <w:tr w:rsidR="00E53AD3" w:rsidRPr="00A30C36" w:rsidTr="00FE2550">
        <w:tc>
          <w:tcPr>
            <w:tcW w:w="2799" w:type="dxa"/>
            <w:shd w:val="clear" w:color="auto" w:fill="C0C0C0"/>
          </w:tcPr>
          <w:p w:rsidR="00E53AD3" w:rsidRPr="00A30C36" w:rsidRDefault="00FE2550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3AD3" w:rsidRPr="00A30C36">
              <w:rPr>
                <w:rFonts w:ascii="Times New Roman" w:hAnsi="Times New Roman" w:cs="Times New Roman"/>
                <w:sz w:val="28"/>
                <w:szCs w:val="28"/>
              </w:rPr>
              <w:t>0. Задачи проекта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000000" w:rsidRPr="00A30C36" w:rsidRDefault="004A709E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реализовать программу, направленную на  взаимоотношения между людьми пожилого возраста,</w:t>
            </w:r>
          </w:p>
          <w:p w:rsidR="00000000" w:rsidRPr="00A30C36" w:rsidRDefault="004A709E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-активизировать участие пожилых людей в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социально-общественной деятельности района,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Pr="00A30C36" w:rsidRDefault="004A709E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обучить людей пожилого возраста компьютерной и финансово-экономической грамотности, </w:t>
            </w:r>
          </w:p>
          <w:p w:rsidR="00000000" w:rsidRPr="00A30C36" w:rsidRDefault="004A709E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активизировать творческий потенциал пожилых людей,</w:t>
            </w:r>
          </w:p>
          <w:p w:rsidR="00000000" w:rsidRPr="00A30C36" w:rsidRDefault="004A709E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вовлечь пожилых людей в ЗОЖ</w:t>
            </w:r>
          </w:p>
          <w:p w:rsidR="00A30C36" w:rsidRPr="00A30C36" w:rsidRDefault="00A30C36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37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"/>
        <w:gridCol w:w="2656"/>
        <w:gridCol w:w="7623"/>
      </w:tblGrid>
      <w:tr w:rsidR="00E53AD3" w:rsidRPr="00A30C36" w:rsidTr="00E53AD3">
        <w:tc>
          <w:tcPr>
            <w:tcW w:w="10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11. Календарный план реализации проекта </w:t>
            </w:r>
            <w:r w:rsidR="00E8352A"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3AD3" w:rsidRPr="00A30C36" w:rsidTr="00E53AD3">
        <w:tblPrEx>
          <w:tblLook w:val="0000"/>
        </w:tblPrEx>
        <w:trPr>
          <w:cantSplit/>
          <w:trHeight w:val="1420"/>
        </w:trPr>
        <w:tc>
          <w:tcPr>
            <w:tcW w:w="10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2971"/>
              <w:gridCol w:w="2914"/>
              <w:gridCol w:w="4220"/>
            </w:tblGrid>
            <w:tr w:rsidR="00A30C36" w:rsidRPr="00A30C36" w:rsidTr="00FB56D4">
              <w:trPr>
                <w:trHeight w:val="686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Название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Описание и количественные показатели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(</w:t>
                  </w:r>
                  <w:proofErr w:type="spellStart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дд.мм</w:t>
                  </w:r>
                  <w:proofErr w:type="gramStart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.г</w:t>
                  </w:r>
                  <w:proofErr w:type="gramEnd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ггг</w:t>
                  </w:r>
                  <w:proofErr w:type="spellEnd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A30C36" w:rsidRPr="00A30C36" w:rsidTr="00FB56D4">
              <w:trPr>
                <w:trHeight w:val="859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Открытие университета пожилого человека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РДК состоится торжественное мероприятие с концертными номерами. Количество участников 170 человек 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</w:tr>
            <w:tr w:rsidR="00A30C36" w:rsidRPr="00A30C36" w:rsidTr="00FB56D4">
              <w:trPr>
                <w:trHeight w:val="941"/>
              </w:trPr>
              <w:tc>
                <w:tcPr>
                  <w:tcW w:w="291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Занятия университета: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согласно расписанию </w:t>
                  </w: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Факультет "Здоровье"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человек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Еженедельно каждый вторник </w:t>
                  </w: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Факультет "Фазенда"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человек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Среда по четным числам каждого месяца</w:t>
                  </w:r>
                </w:p>
              </w:tc>
            </w:tr>
            <w:tr w:rsidR="00A30C36" w:rsidRPr="00A30C36" w:rsidTr="00FB56D4">
              <w:trPr>
                <w:trHeight w:val="466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Факультет "</w:t>
                  </w:r>
                  <w:proofErr w:type="gramStart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Духовное</w:t>
                  </w:r>
                  <w:proofErr w:type="gramEnd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возраждение</w:t>
                  </w:r>
                  <w:proofErr w:type="spellEnd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"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50 человек 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Еженедельно каждый четверг </w:t>
                  </w:r>
                </w:p>
              </w:tc>
            </w:tr>
            <w:tr w:rsidR="00A30C36" w:rsidRPr="00A30C36" w:rsidTr="00FB56D4">
              <w:trPr>
                <w:trHeight w:val="466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Факультет "Компьютерная грамотность"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60 человек 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Еженедельно каждую пятницу</w:t>
                  </w: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Факультет " Шахматной игры"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 человек 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Среда по нечетным числам каждого месяца</w:t>
                  </w: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Факультет "Бального танца"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человек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Еженедельно каждый вторник </w:t>
                  </w:r>
                </w:p>
              </w:tc>
            </w:tr>
            <w:tr w:rsidR="00A30C36" w:rsidRPr="00A30C36" w:rsidTr="00FB56D4">
              <w:trPr>
                <w:trHeight w:val="696"/>
              </w:trPr>
              <w:tc>
                <w:tcPr>
                  <w:tcW w:w="291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в районных мероприятиях обучающихся всех факультетов: 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согласно</w:t>
                  </w:r>
                  <w:proofErr w:type="gramEnd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календарных праздников </w:t>
                  </w: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семьи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291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семь, любви и верности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бабушек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матери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54"/>
              </w:trPr>
              <w:tc>
                <w:tcPr>
                  <w:tcW w:w="291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женский день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291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Праздник весны и труда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Победы в ВОВ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2912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Декада пожилых людей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Декада инвалидов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0C36" w:rsidRPr="00A30C36" w:rsidTr="00FB56D4">
              <w:trPr>
                <w:trHeight w:val="929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Посещение с благотворительным концертом Дома интерната для </w:t>
                  </w:r>
                  <w:proofErr w:type="gramStart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престарелых</w:t>
                  </w:r>
                  <w:proofErr w:type="gramEnd"/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человек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раз в месяц </w:t>
                  </w:r>
                </w:p>
              </w:tc>
            </w:tr>
            <w:tr w:rsidR="00A30C36" w:rsidRPr="00A30C36" w:rsidTr="00FB56D4">
              <w:trPr>
                <w:trHeight w:val="696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Благотворительные поездки по муниципальным образованиям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человек 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A30C36" w:rsidRPr="00A30C36" w:rsidTr="00FB56D4">
              <w:trPr>
                <w:trHeight w:val="720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Закрытие университета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РДК состоится торжественное мероприятие с концертными номерами и вручением дипломов. Количество участников 170 человек</w:t>
                  </w: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</w:tr>
            <w:tr w:rsidR="00A30C36" w:rsidRPr="00A30C36" w:rsidTr="00FB56D4">
              <w:trPr>
                <w:trHeight w:val="233"/>
              </w:trPr>
              <w:tc>
                <w:tcPr>
                  <w:tcW w:w="14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со СМИ 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0C36" w:rsidRPr="00A30C36" w:rsidRDefault="00A30C36" w:rsidP="00A30C3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0C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</w:tr>
          </w:tbl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AD3" w:rsidRPr="00A30C36" w:rsidTr="00A3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  <w:trHeight w:val="523"/>
        </w:trPr>
        <w:tc>
          <w:tcPr>
            <w:tcW w:w="10279" w:type="dxa"/>
            <w:gridSpan w:val="2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Ожидаемые результаты</w:t>
            </w:r>
          </w:p>
        </w:tc>
      </w:tr>
      <w:tr w:rsidR="00A30C36" w:rsidRPr="00A30C36" w:rsidTr="00A30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  <w:trHeight w:val="1017"/>
        </w:trPr>
        <w:tc>
          <w:tcPr>
            <w:tcW w:w="10279" w:type="dxa"/>
            <w:gridSpan w:val="2"/>
            <w:shd w:val="clear" w:color="auto" w:fill="auto"/>
          </w:tcPr>
          <w:p w:rsidR="00A30C36" w:rsidRPr="00A30C36" w:rsidRDefault="00A30C36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В Глушковском районе проживает 6,5 тысяч людей пожилого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настоящее время охвачено около 1,2 тыс. человек. Планируется к 2025 году увеличить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обучающихся до 3,0 тысяч человек. Открыть дополнительно еще 2 факультета</w:t>
            </w:r>
          </w:p>
        </w:tc>
      </w:tr>
      <w:tr w:rsidR="00E53AD3" w:rsidRPr="00A30C36" w:rsidTr="00E53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</w:trPr>
        <w:tc>
          <w:tcPr>
            <w:tcW w:w="2656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511C56" w:rsidRDefault="00E8352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С 2013 года прошли обучение 1190 человек. </w:t>
            </w:r>
          </w:p>
          <w:p w:rsidR="00E53AD3" w:rsidRPr="00A30C36" w:rsidRDefault="00E8352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Занятия проводят 13 специалистов</w:t>
            </w:r>
          </w:p>
        </w:tc>
      </w:tr>
      <w:tr w:rsidR="00E53AD3" w:rsidRPr="00A30C36" w:rsidTr="00E53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</w:trPr>
        <w:tc>
          <w:tcPr>
            <w:tcW w:w="2656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E53AD3" w:rsidRPr="00A30C36" w:rsidRDefault="00E8352A" w:rsidP="00511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Растет </w:t>
            </w:r>
            <w:r w:rsidR="00511C56">
              <w:rPr>
                <w:rFonts w:ascii="Times New Roman" w:hAnsi="Times New Roman" w:cs="Times New Roman"/>
                <w:sz w:val="28"/>
                <w:szCs w:val="28"/>
              </w:rPr>
              <w:t>популярность Университета среди пожилых людей</w:t>
            </w:r>
            <w:proofErr w:type="gramStart"/>
            <w:r w:rsidR="00511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11C56">
              <w:rPr>
                <w:rFonts w:ascii="Times New Roman" w:hAnsi="Times New Roman" w:cs="Times New Roman"/>
                <w:sz w:val="28"/>
                <w:szCs w:val="28"/>
              </w:rPr>
              <w:t xml:space="preserve"> В районных концертах  и районных мероприятиях в концертных номерах увеличилось количество выступающих выпускников Университета</w:t>
            </w:r>
            <w:proofErr w:type="gramStart"/>
            <w:r w:rsidR="00511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11C56">
              <w:rPr>
                <w:rFonts w:ascii="Times New Roman" w:hAnsi="Times New Roman" w:cs="Times New Roman"/>
                <w:sz w:val="28"/>
                <w:szCs w:val="28"/>
              </w:rPr>
              <w:t xml:space="preserve"> Пожилые люди участвуют в творческих, спортивных и социальных мероприятиях, </w:t>
            </w: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сдают нормативы ГТО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/>
      </w:tblPr>
      <w:tblGrid>
        <w:gridCol w:w="10314"/>
      </w:tblGrid>
      <w:tr w:rsidR="00E53AD3" w:rsidRPr="00A30C36" w:rsidTr="00607927">
        <w:trPr>
          <w:trHeight w:val="264"/>
        </w:trPr>
        <w:tc>
          <w:tcPr>
            <w:tcW w:w="10314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13. Опыт успешной реализации проектов</w:t>
            </w:r>
          </w:p>
        </w:tc>
      </w:tr>
      <w:tr w:rsidR="00E53AD3" w:rsidRPr="00A30C36" w:rsidTr="00607927">
        <w:trPr>
          <w:trHeight w:val="551"/>
        </w:trPr>
        <w:tc>
          <w:tcPr>
            <w:tcW w:w="10314" w:type="dxa"/>
            <w:shd w:val="clear" w:color="auto" w:fill="auto"/>
          </w:tcPr>
          <w:p w:rsidR="00607927" w:rsidRPr="00A30C36" w:rsidRDefault="00E8352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Работают 5 факультетов: «Фазенда», «Здоровье», «Духовное возрождение», «Бальный танец», «Компьютерная грамотность». Планируется открыть 6 факультет «Шахматы»</w:t>
            </w:r>
          </w:p>
          <w:p w:rsidR="00A30C36" w:rsidRPr="00A30C36" w:rsidRDefault="00A30C36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Ежегодно в Университете пожилого человека проходят обучение 170 человек. С 2013 года общее количество составило 1190 человек. Ежегодно из числа участников Университета есть победители конкурсов и соревнований.</w:t>
            </w:r>
          </w:p>
        </w:tc>
      </w:tr>
      <w:tr w:rsidR="00E53AD3" w:rsidRPr="00A30C36" w:rsidTr="00607927">
        <w:tc>
          <w:tcPr>
            <w:tcW w:w="10314" w:type="dxa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14. Партнеры проекта и собственный вклад 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AD3" w:rsidRPr="00A30C36" w:rsidRDefault="00E8352A" w:rsidP="00A30C36">
      <w:pPr>
        <w:rPr>
          <w:rFonts w:ascii="Times New Roman" w:hAnsi="Times New Roman" w:cs="Times New Roman"/>
          <w:sz w:val="28"/>
          <w:szCs w:val="28"/>
        </w:rPr>
      </w:pPr>
      <w:r w:rsidRPr="00A30C36">
        <w:rPr>
          <w:rFonts w:ascii="Times New Roman" w:hAnsi="Times New Roman" w:cs="Times New Roman"/>
          <w:sz w:val="28"/>
          <w:szCs w:val="28"/>
        </w:rPr>
        <w:t>Администрация Глушковского района Курской области, Центральная районная библиотека Глушковского района, РДК Глушковского района</w:t>
      </w:r>
    </w:p>
    <w:tbl>
      <w:tblPr>
        <w:tblW w:w="10314" w:type="dxa"/>
        <w:tblLayout w:type="fixed"/>
        <w:tblLook w:val="01E0"/>
      </w:tblPr>
      <w:tblGrid>
        <w:gridCol w:w="10279"/>
        <w:gridCol w:w="35"/>
      </w:tblGrid>
      <w:tr w:rsidR="00E53AD3" w:rsidRPr="00A30C36" w:rsidTr="00607927">
        <w:tc>
          <w:tcPr>
            <w:tcW w:w="10314" w:type="dxa"/>
            <w:gridSpan w:val="2"/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15. Дальнейшая реализация и </w:t>
            </w:r>
            <w:proofErr w:type="spellStart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мультипликативность</w:t>
            </w:r>
            <w:proofErr w:type="spellEnd"/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AD3" w:rsidRPr="00A30C36" w:rsidTr="00607927">
        <w:tc>
          <w:tcPr>
            <w:tcW w:w="10314" w:type="dxa"/>
            <w:gridSpan w:val="2"/>
          </w:tcPr>
          <w:p w:rsidR="00E53AD3" w:rsidRPr="00A30C36" w:rsidRDefault="00E8352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Данный проект планируется внедрить в каждом селе Глушковского района.</w:t>
            </w:r>
          </w:p>
        </w:tc>
      </w:tr>
      <w:tr w:rsidR="00E53AD3" w:rsidRPr="00A30C36" w:rsidTr="006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 xml:space="preserve">16. Информационное сопровождение проекта  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AD3" w:rsidRPr="00A30C36" w:rsidTr="006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820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E53AD3" w:rsidRPr="00A30C36" w:rsidRDefault="00E8352A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мероприятиях Университета пожилого человека регулярно печатается в районной газете «Родные просторы» Глушковского района»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E53AD3" w:rsidRPr="00A30C36" w:rsidTr="00607927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C36">
              <w:rPr>
                <w:rFonts w:ascii="Times New Roman" w:hAnsi="Times New Roman" w:cs="Times New Roman"/>
                <w:sz w:val="28"/>
                <w:szCs w:val="28"/>
              </w:rPr>
              <w:t>17.  Приложения и дополнительная информация о проекте</w:t>
            </w:r>
          </w:p>
          <w:p w:rsidR="00E53AD3" w:rsidRPr="00A30C36" w:rsidRDefault="00E53AD3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AD3" w:rsidRPr="00A30C36" w:rsidTr="00607927">
        <w:trPr>
          <w:trHeight w:val="70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53AD3" w:rsidRPr="00A30C36" w:rsidRDefault="00511C56" w:rsidP="00A3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</w:tbl>
    <w:p w:rsidR="00E53AD3" w:rsidRPr="00A30C36" w:rsidRDefault="00E53AD3" w:rsidP="00A30C36">
      <w:pPr>
        <w:rPr>
          <w:rFonts w:ascii="Times New Roman" w:hAnsi="Times New Roman" w:cs="Times New Roman"/>
          <w:sz w:val="28"/>
          <w:szCs w:val="28"/>
        </w:rPr>
      </w:pPr>
    </w:p>
    <w:sectPr w:rsidR="00E53AD3" w:rsidRPr="00A30C36" w:rsidSect="00FE2550">
      <w:headerReference w:type="default" r:id="rId8"/>
      <w:pgSz w:w="11906" w:h="16838"/>
      <w:pgMar w:top="568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9E" w:rsidRDefault="004A709E" w:rsidP="003A1720">
      <w:pPr>
        <w:spacing w:after="0" w:line="240" w:lineRule="auto"/>
      </w:pPr>
      <w:r>
        <w:separator/>
      </w:r>
    </w:p>
  </w:endnote>
  <w:endnote w:type="continuationSeparator" w:id="0">
    <w:p w:rsidR="004A709E" w:rsidRDefault="004A709E" w:rsidP="003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9E" w:rsidRDefault="004A709E" w:rsidP="003A1720">
      <w:pPr>
        <w:spacing w:after="0" w:line="240" w:lineRule="auto"/>
      </w:pPr>
      <w:r>
        <w:separator/>
      </w:r>
    </w:p>
  </w:footnote>
  <w:footnote w:type="continuationSeparator" w:id="0">
    <w:p w:rsidR="004A709E" w:rsidRDefault="004A709E" w:rsidP="003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861056579"/>
      <w:docPartObj>
        <w:docPartGallery w:val="Page Numbers (Top of Page)"/>
        <w:docPartUnique/>
      </w:docPartObj>
    </w:sdtPr>
    <w:sdtContent>
      <w:p w:rsidR="00E8352A" w:rsidRPr="00FE2550" w:rsidRDefault="00B86EC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8352A" w:rsidRPr="00FE25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1C5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CCB"/>
    <w:multiLevelType w:val="hybridMultilevel"/>
    <w:tmpl w:val="8A848D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14034"/>
    <w:multiLevelType w:val="hybridMultilevel"/>
    <w:tmpl w:val="91E0CBF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63F48"/>
    <w:multiLevelType w:val="hybridMultilevel"/>
    <w:tmpl w:val="E51CF9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13F1E"/>
    <w:multiLevelType w:val="hybridMultilevel"/>
    <w:tmpl w:val="2102D1C2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011D"/>
    <w:multiLevelType w:val="hybridMultilevel"/>
    <w:tmpl w:val="9BC67CB4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069DD"/>
    <w:multiLevelType w:val="hybridMultilevel"/>
    <w:tmpl w:val="5BAE870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E3"/>
    <w:multiLevelType w:val="hybridMultilevel"/>
    <w:tmpl w:val="37786F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20ADE"/>
    <w:multiLevelType w:val="hybridMultilevel"/>
    <w:tmpl w:val="75EE8C9A"/>
    <w:lvl w:ilvl="0" w:tplc="B1F81858">
      <w:start w:val="7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87EFB"/>
    <w:multiLevelType w:val="hybridMultilevel"/>
    <w:tmpl w:val="EA24278A"/>
    <w:lvl w:ilvl="0" w:tplc="B1F81858">
      <w:start w:val="7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547355F"/>
    <w:multiLevelType w:val="hybridMultilevel"/>
    <w:tmpl w:val="701C7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053A9D"/>
    <w:multiLevelType w:val="hybridMultilevel"/>
    <w:tmpl w:val="B34292C4"/>
    <w:lvl w:ilvl="0" w:tplc="D9F07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A4D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68306">
      <w:start w:val="108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6AF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E6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042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440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BE08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92B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D953C96"/>
    <w:multiLevelType w:val="hybridMultilevel"/>
    <w:tmpl w:val="2906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1A19C0"/>
    <w:multiLevelType w:val="hybridMultilevel"/>
    <w:tmpl w:val="086C5FCA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4A7A82"/>
    <w:multiLevelType w:val="hybridMultilevel"/>
    <w:tmpl w:val="6538AA3C"/>
    <w:lvl w:ilvl="0" w:tplc="B1F81858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71A7A56"/>
    <w:multiLevelType w:val="hybridMultilevel"/>
    <w:tmpl w:val="6A7CA784"/>
    <w:lvl w:ilvl="0" w:tplc="EF701A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9177F7"/>
    <w:multiLevelType w:val="hybridMultilevel"/>
    <w:tmpl w:val="FF1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27729"/>
    <w:multiLevelType w:val="hybridMultilevel"/>
    <w:tmpl w:val="4EC4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D6108"/>
    <w:multiLevelType w:val="hybridMultilevel"/>
    <w:tmpl w:val="93B033B6"/>
    <w:lvl w:ilvl="0" w:tplc="B1F81858">
      <w:start w:val="7"/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D90C9D"/>
    <w:multiLevelType w:val="hybridMultilevel"/>
    <w:tmpl w:val="0BD6714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82D3B"/>
    <w:multiLevelType w:val="hybridMultilevel"/>
    <w:tmpl w:val="7CDEAFF8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7967C1"/>
    <w:multiLevelType w:val="hybridMultilevel"/>
    <w:tmpl w:val="567A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E453E"/>
    <w:multiLevelType w:val="hybridMultilevel"/>
    <w:tmpl w:val="38661082"/>
    <w:lvl w:ilvl="0" w:tplc="9FE00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97739"/>
    <w:multiLevelType w:val="hybridMultilevel"/>
    <w:tmpl w:val="7AD4918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F4E7D"/>
    <w:multiLevelType w:val="hybridMultilevel"/>
    <w:tmpl w:val="FFA4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048D7"/>
    <w:multiLevelType w:val="hybridMultilevel"/>
    <w:tmpl w:val="3036F806"/>
    <w:lvl w:ilvl="0" w:tplc="B1F81858">
      <w:start w:val="7"/>
      <w:numFmt w:val="bullet"/>
      <w:lvlText w:val=""/>
      <w:lvlJc w:val="left"/>
      <w:pPr>
        <w:ind w:left="758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>
    <w:nsid w:val="7CED69F4"/>
    <w:multiLevelType w:val="hybridMultilevel"/>
    <w:tmpl w:val="FC0A99AC"/>
    <w:lvl w:ilvl="0" w:tplc="B1F81858">
      <w:start w:val="7"/>
      <w:numFmt w:val="bullet"/>
      <w:lvlText w:val=""/>
      <w:lvlJc w:val="left"/>
      <w:pPr>
        <w:ind w:left="157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D1E427C"/>
    <w:multiLevelType w:val="multilevel"/>
    <w:tmpl w:val="894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D1657B"/>
    <w:multiLevelType w:val="hybridMultilevel"/>
    <w:tmpl w:val="B5EA54C0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8"/>
  </w:num>
  <w:num w:numId="5">
    <w:abstractNumId w:val="12"/>
  </w:num>
  <w:num w:numId="6">
    <w:abstractNumId w:val="17"/>
  </w:num>
  <w:num w:numId="7">
    <w:abstractNumId w:val="3"/>
  </w:num>
  <w:num w:numId="8">
    <w:abstractNumId w:val="5"/>
  </w:num>
  <w:num w:numId="9">
    <w:abstractNumId w:val="22"/>
  </w:num>
  <w:num w:numId="10">
    <w:abstractNumId w:val="27"/>
  </w:num>
  <w:num w:numId="11">
    <w:abstractNumId w:val="9"/>
  </w:num>
  <w:num w:numId="12">
    <w:abstractNumId w:val="16"/>
  </w:num>
  <w:num w:numId="13">
    <w:abstractNumId w:val="14"/>
  </w:num>
  <w:num w:numId="14">
    <w:abstractNumId w:val="19"/>
  </w:num>
  <w:num w:numId="15">
    <w:abstractNumId w:val="0"/>
  </w:num>
  <w:num w:numId="16">
    <w:abstractNumId w:val="20"/>
  </w:num>
  <w:num w:numId="17">
    <w:abstractNumId w:val="11"/>
  </w:num>
  <w:num w:numId="18">
    <w:abstractNumId w:val="26"/>
  </w:num>
  <w:num w:numId="19">
    <w:abstractNumId w:val="4"/>
  </w:num>
  <w:num w:numId="20">
    <w:abstractNumId w:val="2"/>
  </w:num>
  <w:num w:numId="21">
    <w:abstractNumId w:val="25"/>
  </w:num>
  <w:num w:numId="22">
    <w:abstractNumId w:val="18"/>
  </w:num>
  <w:num w:numId="23">
    <w:abstractNumId w:val="21"/>
  </w:num>
  <w:num w:numId="24">
    <w:abstractNumId w:val="6"/>
  </w:num>
  <w:num w:numId="25">
    <w:abstractNumId w:val="1"/>
  </w:num>
  <w:num w:numId="26">
    <w:abstractNumId w:val="23"/>
  </w:num>
  <w:num w:numId="27">
    <w:abstractNumId w:val="15"/>
  </w:num>
  <w:num w:numId="28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F2E"/>
    <w:rsid w:val="00003BD1"/>
    <w:rsid w:val="0003719F"/>
    <w:rsid w:val="00050FBA"/>
    <w:rsid w:val="00061870"/>
    <w:rsid w:val="0006240D"/>
    <w:rsid w:val="000817DF"/>
    <w:rsid w:val="000A0734"/>
    <w:rsid w:val="000B62DC"/>
    <w:rsid w:val="000C6FDA"/>
    <w:rsid w:val="000F03F6"/>
    <w:rsid w:val="00140549"/>
    <w:rsid w:val="00167ED4"/>
    <w:rsid w:val="00173FFE"/>
    <w:rsid w:val="00184BE5"/>
    <w:rsid w:val="001963C2"/>
    <w:rsid w:val="001B3871"/>
    <w:rsid w:val="001C73D1"/>
    <w:rsid w:val="002519B3"/>
    <w:rsid w:val="00256E4F"/>
    <w:rsid w:val="00257525"/>
    <w:rsid w:val="00296D45"/>
    <w:rsid w:val="002A0083"/>
    <w:rsid w:val="002A4FB1"/>
    <w:rsid w:val="002D6B72"/>
    <w:rsid w:val="002F56C6"/>
    <w:rsid w:val="00307320"/>
    <w:rsid w:val="00312E9A"/>
    <w:rsid w:val="00326AB0"/>
    <w:rsid w:val="00353C49"/>
    <w:rsid w:val="00376B90"/>
    <w:rsid w:val="00391A9F"/>
    <w:rsid w:val="003A1720"/>
    <w:rsid w:val="003A5446"/>
    <w:rsid w:val="003C5485"/>
    <w:rsid w:val="003D2E77"/>
    <w:rsid w:val="003E493A"/>
    <w:rsid w:val="003E7F1C"/>
    <w:rsid w:val="003F388A"/>
    <w:rsid w:val="00404FCF"/>
    <w:rsid w:val="004772D5"/>
    <w:rsid w:val="004962C8"/>
    <w:rsid w:val="004A709E"/>
    <w:rsid w:val="004A7161"/>
    <w:rsid w:val="004B2E50"/>
    <w:rsid w:val="004B7F91"/>
    <w:rsid w:val="004E43DB"/>
    <w:rsid w:val="00511A96"/>
    <w:rsid w:val="00511C56"/>
    <w:rsid w:val="005135D9"/>
    <w:rsid w:val="005136A6"/>
    <w:rsid w:val="0054559D"/>
    <w:rsid w:val="00546334"/>
    <w:rsid w:val="00547F28"/>
    <w:rsid w:val="00560646"/>
    <w:rsid w:val="005728D3"/>
    <w:rsid w:val="0058208D"/>
    <w:rsid w:val="00583096"/>
    <w:rsid w:val="00587FAE"/>
    <w:rsid w:val="00593D28"/>
    <w:rsid w:val="005B09D7"/>
    <w:rsid w:val="005C37D2"/>
    <w:rsid w:val="005D1358"/>
    <w:rsid w:val="005E2DC2"/>
    <w:rsid w:val="00607927"/>
    <w:rsid w:val="00612F2E"/>
    <w:rsid w:val="0061546F"/>
    <w:rsid w:val="0061767A"/>
    <w:rsid w:val="006229A6"/>
    <w:rsid w:val="00624DE1"/>
    <w:rsid w:val="00632560"/>
    <w:rsid w:val="00632F0F"/>
    <w:rsid w:val="0066492A"/>
    <w:rsid w:val="0068396A"/>
    <w:rsid w:val="00697F31"/>
    <w:rsid w:val="006B61C6"/>
    <w:rsid w:val="006C0210"/>
    <w:rsid w:val="007011C0"/>
    <w:rsid w:val="00705CBD"/>
    <w:rsid w:val="007061A1"/>
    <w:rsid w:val="007121E5"/>
    <w:rsid w:val="00724C3C"/>
    <w:rsid w:val="00742163"/>
    <w:rsid w:val="0074379E"/>
    <w:rsid w:val="00757CF5"/>
    <w:rsid w:val="00766A65"/>
    <w:rsid w:val="007955DF"/>
    <w:rsid w:val="00796456"/>
    <w:rsid w:val="007A34DF"/>
    <w:rsid w:val="007C65B3"/>
    <w:rsid w:val="007D60CB"/>
    <w:rsid w:val="007E4BE9"/>
    <w:rsid w:val="00800F49"/>
    <w:rsid w:val="00806578"/>
    <w:rsid w:val="0084452D"/>
    <w:rsid w:val="00867ACB"/>
    <w:rsid w:val="00872B9F"/>
    <w:rsid w:val="0087377E"/>
    <w:rsid w:val="00876DE9"/>
    <w:rsid w:val="008F13DB"/>
    <w:rsid w:val="00904EC4"/>
    <w:rsid w:val="00917856"/>
    <w:rsid w:val="00922E1A"/>
    <w:rsid w:val="00932C96"/>
    <w:rsid w:val="00940B42"/>
    <w:rsid w:val="00967445"/>
    <w:rsid w:val="00983316"/>
    <w:rsid w:val="009B21D3"/>
    <w:rsid w:val="009C0F83"/>
    <w:rsid w:val="009C4E23"/>
    <w:rsid w:val="009E73C6"/>
    <w:rsid w:val="009F068F"/>
    <w:rsid w:val="009F4731"/>
    <w:rsid w:val="00A059AA"/>
    <w:rsid w:val="00A30C36"/>
    <w:rsid w:val="00A451C9"/>
    <w:rsid w:val="00A71A4F"/>
    <w:rsid w:val="00A8770E"/>
    <w:rsid w:val="00B06BB9"/>
    <w:rsid w:val="00B3116F"/>
    <w:rsid w:val="00B508A1"/>
    <w:rsid w:val="00B86EC5"/>
    <w:rsid w:val="00B954CA"/>
    <w:rsid w:val="00BA0B34"/>
    <w:rsid w:val="00BA3622"/>
    <w:rsid w:val="00BF3E77"/>
    <w:rsid w:val="00C109B7"/>
    <w:rsid w:val="00C42BF0"/>
    <w:rsid w:val="00C44266"/>
    <w:rsid w:val="00C448B1"/>
    <w:rsid w:val="00C87436"/>
    <w:rsid w:val="00C92285"/>
    <w:rsid w:val="00CA43BB"/>
    <w:rsid w:val="00CD02C7"/>
    <w:rsid w:val="00CD3D06"/>
    <w:rsid w:val="00CF741A"/>
    <w:rsid w:val="00D13D89"/>
    <w:rsid w:val="00D323C0"/>
    <w:rsid w:val="00D45F2D"/>
    <w:rsid w:val="00D87FAF"/>
    <w:rsid w:val="00DD7D14"/>
    <w:rsid w:val="00DE2C02"/>
    <w:rsid w:val="00E24CA3"/>
    <w:rsid w:val="00E2631A"/>
    <w:rsid w:val="00E37252"/>
    <w:rsid w:val="00E47C46"/>
    <w:rsid w:val="00E526A3"/>
    <w:rsid w:val="00E53AD3"/>
    <w:rsid w:val="00E57751"/>
    <w:rsid w:val="00E61599"/>
    <w:rsid w:val="00E6191A"/>
    <w:rsid w:val="00E7558A"/>
    <w:rsid w:val="00E8352A"/>
    <w:rsid w:val="00E85630"/>
    <w:rsid w:val="00E87DB5"/>
    <w:rsid w:val="00E90686"/>
    <w:rsid w:val="00E976E8"/>
    <w:rsid w:val="00ED6B71"/>
    <w:rsid w:val="00F03711"/>
    <w:rsid w:val="00F05110"/>
    <w:rsid w:val="00F13D2B"/>
    <w:rsid w:val="00F420A3"/>
    <w:rsid w:val="00F46569"/>
    <w:rsid w:val="00F73123"/>
    <w:rsid w:val="00F920D5"/>
    <w:rsid w:val="00FE2550"/>
    <w:rsid w:val="00FE7E07"/>
    <w:rsid w:val="00FF061A"/>
    <w:rsid w:val="00FF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1"/>
  </w:style>
  <w:style w:type="paragraph" w:styleId="1">
    <w:name w:val="heading 1"/>
    <w:basedOn w:val="a"/>
    <w:next w:val="a"/>
    <w:link w:val="10"/>
    <w:uiPriority w:val="9"/>
    <w:qFormat/>
    <w:rsid w:val="00E37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E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8F"/>
    <w:pPr>
      <w:ind w:left="720"/>
      <w:contextualSpacing/>
    </w:pPr>
  </w:style>
  <w:style w:type="character" w:styleId="a4">
    <w:name w:val="Hyperlink"/>
    <w:rsid w:val="00E526A3"/>
    <w:rPr>
      <w:u w:val="single"/>
    </w:rPr>
  </w:style>
  <w:style w:type="paragraph" w:styleId="a5">
    <w:name w:val="Plain Text"/>
    <w:link w:val="a6"/>
    <w:rsid w:val="00E52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E526A3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9C0F83"/>
    <w:rPr>
      <w:b/>
      <w:bCs/>
    </w:rPr>
  </w:style>
  <w:style w:type="paragraph" w:customStyle="1" w:styleId="11">
    <w:name w:val="Абзац списка1"/>
    <w:basedOn w:val="a"/>
    <w:uiPriority w:val="99"/>
    <w:rsid w:val="00D87FAF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paragraph" w:customStyle="1" w:styleId="ListParagraph1">
    <w:name w:val="List Paragraph1"/>
    <w:basedOn w:val="a"/>
    <w:uiPriority w:val="99"/>
    <w:rsid w:val="00D87FAF"/>
    <w:pPr>
      <w:spacing w:after="160" w:line="259" w:lineRule="auto"/>
      <w:ind w:left="720"/>
      <w:contextualSpacing/>
    </w:pPr>
    <w:rPr>
      <w:rFonts w:ascii="Calibri" w:eastAsia="Calibri" w:hAnsi="Calibri" w:cs="Times New Roman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C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4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720"/>
  </w:style>
  <w:style w:type="paragraph" w:styleId="ad">
    <w:name w:val="footer"/>
    <w:basedOn w:val="a"/>
    <w:link w:val="ae"/>
    <w:uiPriority w:val="99"/>
    <w:semiHidden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720"/>
  </w:style>
  <w:style w:type="paragraph" w:styleId="af">
    <w:name w:val="Normal (Web)"/>
    <w:basedOn w:val="a"/>
    <w:uiPriority w:val="99"/>
    <w:unhideWhenUsed/>
    <w:rsid w:val="00E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37252"/>
    <w:pPr>
      <w:outlineLvl w:val="9"/>
    </w:pPr>
  </w:style>
  <w:style w:type="character" w:customStyle="1" w:styleId="30">
    <w:name w:val="Заголовок 3 Знак"/>
    <w:basedOn w:val="a0"/>
    <w:link w:val="3"/>
    <w:uiPriority w:val="9"/>
    <w:semiHidden/>
    <w:rsid w:val="00312E9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71081-EC3C-48EA-B9FC-1B393D8D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ErochenkoZ</cp:lastModifiedBy>
  <cp:revision>8</cp:revision>
  <cp:lastPrinted>2019-09-24T16:28:00Z</cp:lastPrinted>
  <dcterms:created xsi:type="dcterms:W3CDTF">2019-07-18T11:15:00Z</dcterms:created>
  <dcterms:modified xsi:type="dcterms:W3CDTF">2020-04-10T12:46:00Z</dcterms:modified>
</cp:coreProperties>
</file>