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9E" w:rsidRPr="00834464" w:rsidRDefault="00E93F49" w:rsidP="00B61AAD">
      <w:pPr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автора: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Есина Елена Александровна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работы и должность: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F49" w:rsidRPr="00834464" w:rsidRDefault="00E93F49" w:rsidP="00B61AAD">
      <w:pPr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государственного автономного учреждения дополнительного профессионального образования Липецкой области «Институт развития образования»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данные: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8344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rector_gaudpo@admlr.lipetsk.ru</w:t>
        </w:r>
      </w:hyperlink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+7 (4742) 32-94-60</w:t>
      </w:r>
      <w:r w:rsidR="005F6FCE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,+79525953849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конкурсной работы: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«Система комплексного наставничества и сопровождения молодых педагогов в Липецкой области: от адаптации к лидерству</w:t>
      </w:r>
      <w:r w:rsidR="0023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работы Ассоциации молодых педагогов Липецкой области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Номинация: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«Наставничество в сфере образования, воспитания и молодежной политики»</w:t>
      </w:r>
    </w:p>
    <w:p w:rsidR="00550AA9" w:rsidRPr="00834464" w:rsidRDefault="00550AA9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</w:p>
    <w:p w:rsidR="00E93F49" w:rsidRPr="00834464" w:rsidRDefault="00E93F49" w:rsidP="00B61AAD">
      <w:pPr>
        <w:spacing w:after="0" w:line="360" w:lineRule="auto"/>
        <w:ind w:left="709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1. Введение</w:t>
      </w:r>
    </w:p>
    <w:p w:rsidR="005F6FCE" w:rsidRPr="00834464" w:rsidRDefault="00E93F49" w:rsidP="00B61AAD">
      <w:pPr>
        <w:spacing w:after="0"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464">
        <w:rPr>
          <w:rFonts w:ascii="Times New Roman" w:hAnsi="Times New Roman" w:cs="Times New Roman"/>
          <w:sz w:val="28"/>
          <w:szCs w:val="28"/>
        </w:rPr>
        <w:t xml:space="preserve">Современная российская школа стоит перед вызовом системного обновления педагогического корпуса. </w:t>
      </w:r>
      <w:r w:rsidR="005F6FCE" w:rsidRPr="00834464">
        <w:rPr>
          <w:rFonts w:ascii="Times New Roman" w:hAnsi="Times New Roman" w:cs="Times New Roman"/>
          <w:sz w:val="28"/>
          <w:szCs w:val="28"/>
        </w:rPr>
        <w:t>О</w:t>
      </w:r>
      <w:r w:rsidRPr="00834464">
        <w:rPr>
          <w:rFonts w:ascii="Times New Roman" w:hAnsi="Times New Roman" w:cs="Times New Roman"/>
          <w:sz w:val="28"/>
          <w:szCs w:val="28"/>
        </w:rPr>
        <w:t>собенно остро проявляется противоречие между возрастающими требованиями к качеству образования и дефицитом квалифицированных педагогических кадров. Статистика свидетельствует: до 30% молодых специалистов покидают образовательные организации в первые три года работы, а в отдельных регионах этот показатель достигает 50%. Это не просто цифры - это индикатор системного кризиса профессиональной адаптации, приводящего к колоссальным потерям человеческого капитала в сфере образования.</w:t>
      </w:r>
      <w:r w:rsidR="005F6FCE" w:rsidRPr="00834464">
        <w:rPr>
          <w:rFonts w:ascii="Times New Roman" w:hAnsi="Times New Roman" w:cs="Times New Roman"/>
          <w:sz w:val="28"/>
          <w:szCs w:val="28"/>
        </w:rPr>
        <w:t xml:space="preserve"> </w:t>
      </w:r>
      <w:r w:rsidRPr="00834464">
        <w:rPr>
          <w:rFonts w:ascii="Times New Roman" w:hAnsi="Times New Roman" w:cs="Times New Roman"/>
          <w:sz w:val="28"/>
          <w:szCs w:val="28"/>
        </w:rPr>
        <w:t>Как ректор Института развития образования, я рассматриваю наставничество не как дополнительную функцию, а как стержень кадровой политики региона. Моя профессиональная позиция основана на убеждении: подлинная эффективность наставничества достигается только тогда, когда оно становится делом личной ответственности руководителя, способного объединить административный ресурс, методический потенциал и человеческое участие.</w:t>
      </w:r>
      <w:r w:rsidR="005F6FCE" w:rsidRPr="0083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F49" w:rsidRPr="00834464" w:rsidRDefault="00E93F49" w:rsidP="00B61AAD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464">
        <w:rPr>
          <w:rFonts w:ascii="Times New Roman" w:hAnsi="Times New Roman" w:cs="Times New Roman"/>
          <w:sz w:val="28"/>
          <w:szCs w:val="28"/>
        </w:rPr>
        <w:t xml:space="preserve">Представляемая практика прошла эволюцию от отдельных мероприятий по адаптации молодых специалистов до целостной региональной модели воспроизводства педагогических кадров. Через деятельность Ассоциации молодых педагогов </w:t>
      </w:r>
      <w:r w:rsidR="00B61AAD" w:rsidRPr="00834464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Pr="00834464">
        <w:rPr>
          <w:rFonts w:ascii="Times New Roman" w:hAnsi="Times New Roman" w:cs="Times New Roman"/>
          <w:sz w:val="28"/>
          <w:szCs w:val="28"/>
        </w:rPr>
        <w:t>мы создали уникальную среду профессионального роста, где каждый начинающий учитель получает многомерную поддержку - от решения ситуативных педагогических задач до построения персональной траектории карьерного развития.</w:t>
      </w:r>
    </w:p>
    <w:p w:rsidR="00E93F49" w:rsidRPr="00834464" w:rsidRDefault="00E93F49" w:rsidP="00B61AAD">
      <w:pPr>
        <w:spacing w:line="360" w:lineRule="auto"/>
        <w:ind w:left="709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</w:p>
    <w:p w:rsidR="00E93F49" w:rsidRPr="00834464" w:rsidRDefault="00E93F49" w:rsidP="00B61AAD">
      <w:pPr>
        <w:spacing w:after="0" w:line="360" w:lineRule="auto"/>
        <w:ind w:left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Основная часть</w:t>
      </w:r>
    </w:p>
    <w:p w:rsidR="00E93F49" w:rsidRPr="00E629D2" w:rsidRDefault="00E93F49" w:rsidP="00E629D2">
      <w:pPr>
        <w:spacing w:after="0" w:line="360" w:lineRule="auto"/>
        <w:ind w:left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629D2" w:rsidRPr="00E62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62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Архитектура профессионального роста</w:t>
      </w:r>
    </w:p>
    <w:p w:rsidR="00550AA9" w:rsidRPr="00E629D2" w:rsidRDefault="00550AA9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становление молодого специалиста — процесс многогранный и сложный, особенно когда речь идет о сфере образования. Именно здесь важна поддержка и сопровождение, ведь учитель — это не просто профессия, это призвание, требующее постоянного совершенствования и развития. В этой связи особую значимость приобретает работа ассоциаций молодых педагогов, которые становятся своеобразным мостом между теоретической подготовкой и реальной практикой.</w:t>
      </w:r>
    </w:p>
    <w:p w:rsidR="00550AA9" w:rsidRPr="00E629D2" w:rsidRDefault="00550AA9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молодых педагогов</w:t>
      </w:r>
      <w:r w:rsidR="0040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</w:t>
      </w: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важный институт, обеспечивающий комплексное сопровождение начинающих специалистов на пути к профессиональному успеху. Она создает условия для непрерывного развития, социальной адаптации и личностного роста, обеспечивая преемственность поколений в образовательной сфере. Работа такой организации направлена на повышение качества образования в стране, поскольку успешность каждого отдельного педагога непосредственно влияет на уровень подготовки будущих поколений.</w:t>
      </w:r>
    </w:p>
    <w:p w:rsidR="00E63FB6" w:rsidRPr="00E629D2" w:rsidRDefault="00E63FB6" w:rsidP="00E62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Ассоциация реализует следующие задачи: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адаптации молодых педагогов к специфике профессиональной деятельности.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деятельности молодых педагогов на совершенствование профессионального мастерства.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информационной поддержки молодым педагогам в образовательном пространстве региона. </w:t>
      </w:r>
    </w:p>
    <w:p w:rsidR="00E63FB6" w:rsidRPr="00E629D2" w:rsidRDefault="00E63FB6" w:rsidP="00E629D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Ассоциация молодых педагогов Липецкой области ежегодно проводит ряд профессиональных мероприятий, многие из которых являются традиционными: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«Зимняя школа молодых педагогов» - двухдневное мероприятие, включающее в себя мастер-классы, диалоговые площадки, творческие программы;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Слёт молодых педагогов Липецкой области – двухдневное мероприятие, включающее в себя панельные дискуссии, проектные сессии, мастер-классы.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молодых педагогов Липецкой области «Учи! Учись! Развивайся!» – профессиональный конкурс среди педагогических команд, представляющих каждое муниципальное образование региона;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конкурс «Педагогический дебют»; </w:t>
      </w:r>
    </w:p>
    <w:p w:rsidR="00E63FB6" w:rsidRPr="00E629D2" w:rsidRDefault="00E63FB6" w:rsidP="00E629D2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моей личной поддержке проводится региональный конкурс среди молодых педагогов региона – «Педагогический дебют». Конкурс организуется в целях создания условий для развития творческого потенциала и самореализации молодых педагогических работников, формирования гражданской позиции молодых педагогических работников, активного профессионального отношения к совершенствованию системы образования. Ежегодно в конкурсе принимают участие более 80 молодых педагогов со стажем до 5 лет.  Победители и лауреаты прошлых лет стали членами жюри конкурса, участниками областного публичного конкурса «Учитель года».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tabs>
          <w:tab w:val="clear" w:pos="720"/>
          <w:tab w:val="num" w:pos="142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Ассоциации появились такие формы работы как образовательные экскурсии. Команды молодых педагогов посещают образовательные организации, знакомятся с работой коллег, посещают уроки и внеурочные мероприятия. Для привлечения большего количества молодых педагогов региона, распространения передового опыта, популяризации профессионального конкурсного движения в регионе запущен интернет-марафон «Мы-молодые педагоги», который позволит в неформальной обстановке рассказать о себе, своей работе как молодого педагога. </w:t>
      </w:r>
    </w:p>
    <w:p w:rsidR="00E63FB6" w:rsidRPr="00E629D2" w:rsidRDefault="00E63FB6" w:rsidP="00E629D2">
      <w:pPr>
        <w:pStyle w:val="a5"/>
        <w:numPr>
          <w:ilvl w:val="0"/>
          <w:numId w:val="10"/>
        </w:numPr>
        <w:tabs>
          <w:tab w:val="clear" w:pos="720"/>
          <w:tab w:val="num" w:pos="142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четырех лет в регионе проводится Чемпионат молодых педагогов Липецкой области «Учи! Учись! Развивайся!». В нем </w:t>
      </w: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принимают участие команды молодых педагогов – представители всех муниципальных районов и городских округов области.  Педагогические соревнования проходят как в интеллектуальных испытаниях, так и творческих решениях. </w:t>
      </w:r>
    </w:p>
    <w:p w:rsidR="00E63FB6" w:rsidRDefault="00E63FB6" w:rsidP="00E629D2">
      <w:pPr>
        <w:pStyle w:val="a5"/>
        <w:tabs>
          <w:tab w:val="num" w:pos="142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молодых педагогов Липецкой области нашел свое продолжение в фестивале педагогических классов, организатором которого становится команда победитель. Данное мероприятие позволило молодым педагогам обогатить свой профессиональный опыт в нестандартном соревновательном формате. Педагоги были вовлечены как в профессиональную тематику, так и творческую. Важно, что чемпионат включал в себя испытания, отражающие историю и культуру региона, что показывает молодым специалистам значимость региональных традиций и ценностей.</w:t>
      </w:r>
    </w:p>
    <w:p w:rsidR="004050FE" w:rsidRPr="00E629D2" w:rsidRDefault="004050FE" w:rsidP="00E629D2">
      <w:pPr>
        <w:pStyle w:val="a5"/>
        <w:tabs>
          <w:tab w:val="num" w:pos="142"/>
        </w:tabs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F49" w:rsidRPr="00834464" w:rsidRDefault="00E93F49" w:rsidP="00B61AAD">
      <w:pPr>
        <w:spacing w:after="0" w:line="360" w:lineRule="auto"/>
        <w:ind w:left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5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Роль институционального лидера-наставника: От управления к </w:t>
      </w:r>
      <w:proofErr w:type="gramStart"/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со-творчеству</w:t>
      </w:r>
      <w:proofErr w:type="gramEnd"/>
    </w:p>
    <w:p w:rsidR="00E93F49" w:rsidRPr="00834464" w:rsidRDefault="00E93F49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роль как наставника-лидера реализуется через несколько взаимосвязанных аспектов:</w:t>
      </w:r>
    </w:p>
    <w:p w:rsidR="00E93F49" w:rsidRPr="00834464" w:rsidRDefault="00B61AAD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</w:t>
      </w:r>
      <w:r w:rsidR="00E93F49"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тратегический аспект</w:t>
      </w:r>
      <w:r w:rsidR="00E93F49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видения развития региональной системы наставничества и ее интеграция в образовательную политику области. Под моим руководством разработана и утверждена «Концепция развития наставничества в Липецкой области», определяющая целевые ориентиры и механизмы их достижения.</w:t>
      </w:r>
    </w:p>
    <w:p w:rsidR="00E93F49" w:rsidRPr="00834464" w:rsidRDefault="00B61AAD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</w:t>
      </w:r>
      <w:r w:rsidR="00E93F49"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етодический аспект</w:t>
      </w:r>
      <w:r w:rsidR="00E93F49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непосредственное участие в разработке содержания наставнической деятельности. Мной лично разработаны и апробированы:</w:t>
      </w:r>
    </w:p>
    <w:p w:rsidR="00E93F49" w:rsidRPr="00834464" w:rsidRDefault="00E93F49" w:rsidP="00E629D2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проведения чемпионата молодых педагогов «</w:t>
      </w:r>
      <w:proofErr w:type="spellStart"/>
      <w:proofErr w:type="gramStart"/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Учи!Учись</w:t>
      </w:r>
      <w:proofErr w:type="gramEnd"/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»Развивайся</w:t>
      </w:r>
      <w:proofErr w:type="spellEnd"/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!»,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модули по современным образовательным технологиям, психологии педагогического общения и правовым основам образовательной деятельности</w:t>
      </w:r>
    </w:p>
    <w:p w:rsidR="00E93F49" w:rsidRPr="00834464" w:rsidRDefault="00E93F49" w:rsidP="00E629D2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кейсов для анализа профессиональных ситуаций, основанная на реальных проблемах начинающих учителей</w:t>
      </w:r>
      <w:r w:rsidR="00B61AAD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внедряются и апробируются в рамках проведения профессиональных конкурсов для молодых педагогов.</w:t>
      </w:r>
    </w:p>
    <w:p w:rsidR="00E93F49" w:rsidRPr="00834464" w:rsidRDefault="00E93F49" w:rsidP="00E629D2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проектирования индивидуальных образовательных маршрутов молодых педагогов</w:t>
      </w:r>
    </w:p>
    <w:p w:rsidR="00E93F49" w:rsidRPr="00834464" w:rsidRDefault="00E93F49" w:rsidP="00E629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Персональный аспект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прямое наставническое сопровождение наиболее перспективных молодых специалистов. В течение последних пяти лет лично курировала подготовку победителей</w:t>
      </w:r>
      <w:r w:rsidR="005F6FCE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призеров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лауреатов всероссийских профессиональных конкурсов, включая:</w:t>
      </w:r>
    </w:p>
    <w:p w:rsidR="00E93F49" w:rsidRPr="00834464" w:rsidRDefault="00E93F49" w:rsidP="00E629D2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Сигареву</w:t>
      </w:r>
      <w:proofErr w:type="spellEnd"/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 (победитель телепроекта «Классная тема»)</w:t>
      </w:r>
    </w:p>
    <w:p w:rsidR="00E93F49" w:rsidRPr="00834464" w:rsidRDefault="00E93F49" w:rsidP="00E629D2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Ольгу и Балакина Артема (победители Всероссийского конкурса «Педагогический дебют»)</w:t>
      </w:r>
    </w:p>
    <w:p w:rsidR="00E93F49" w:rsidRPr="00834464" w:rsidRDefault="00E93F49" w:rsidP="00E629D2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Федюшину Ульяну (лауреат Всероссийского конкурса «Учитель-дефектолог России»</w:t>
      </w:r>
      <w:r w:rsidR="005F6FCE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лауреат всероссийского конкурса молодых исследователей в области коррекционной педагогики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6FCE" w:rsidRPr="00834464" w:rsidRDefault="005F6FCE" w:rsidP="00E629D2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Мазуров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(призер Всероссийского конкурса «Лучший учитель родного языка и родной литературы»)</w:t>
      </w:r>
    </w:p>
    <w:p w:rsidR="005F6FCE" w:rsidRPr="00834464" w:rsidRDefault="005F6FCE" w:rsidP="00E629D2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(лауреат Всероссийского конкурса «Лучший учитель родного языка и родной литературы»</w:t>
      </w:r>
    </w:p>
    <w:p w:rsidR="00B61AAD" w:rsidRPr="00834464" w:rsidRDefault="00B61AAD" w:rsidP="00B61AAD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64">
        <w:rPr>
          <w:bCs/>
          <w:sz w:val="28"/>
          <w:szCs w:val="28"/>
        </w:rPr>
        <w:t xml:space="preserve"> - к</w:t>
      </w:r>
      <w:r w:rsidR="00E93F49" w:rsidRPr="00834464">
        <w:rPr>
          <w:bCs/>
          <w:sz w:val="28"/>
          <w:szCs w:val="28"/>
        </w:rPr>
        <w:t>оммуникативный аспект</w:t>
      </w:r>
      <w:r w:rsidR="00E93F49" w:rsidRPr="00834464">
        <w:rPr>
          <w:sz w:val="28"/>
          <w:szCs w:val="28"/>
        </w:rPr>
        <w:t xml:space="preserve"> - создание и поддержание атмосферы доверия и открытости в профессиональном сообществе. Ежеквартальные встречи с молодыми педагогами, личный прием по вопросам профессионального становления, регулярное участие в дискуссионных площадках Ассоциации - все это позволяет выстраивать отношения наставничества, основанные на взаимном уважении</w:t>
      </w:r>
      <w:r w:rsidRPr="00834464">
        <w:rPr>
          <w:sz w:val="28"/>
          <w:szCs w:val="28"/>
        </w:rPr>
        <w:t xml:space="preserve">. </w:t>
      </w:r>
    </w:p>
    <w:p w:rsidR="00D44ED8" w:rsidRPr="00834464" w:rsidRDefault="00B61AAD" w:rsidP="00B61AAD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64">
        <w:rPr>
          <w:sz w:val="28"/>
          <w:szCs w:val="28"/>
        </w:rPr>
        <w:t xml:space="preserve"> - </w:t>
      </w:r>
      <w:proofErr w:type="spellStart"/>
      <w:r w:rsidRPr="00834464">
        <w:rPr>
          <w:sz w:val="28"/>
          <w:szCs w:val="28"/>
        </w:rPr>
        <w:t>и</w:t>
      </w:r>
      <w:r w:rsidR="00D44ED8" w:rsidRPr="00834464">
        <w:rPr>
          <w:rStyle w:val="a4"/>
          <w:b w:val="0"/>
          <w:sz w:val="28"/>
          <w:szCs w:val="28"/>
        </w:rPr>
        <w:t>нновационно</w:t>
      </w:r>
      <w:proofErr w:type="spellEnd"/>
      <w:r w:rsidR="00D44ED8" w:rsidRPr="00834464">
        <w:rPr>
          <w:rStyle w:val="a4"/>
          <w:b w:val="0"/>
          <w:sz w:val="28"/>
          <w:szCs w:val="28"/>
        </w:rPr>
        <w:t>-экспериментальный аспект</w:t>
      </w:r>
      <w:r w:rsidR="00D44ED8" w:rsidRPr="00834464">
        <w:rPr>
          <w:sz w:val="28"/>
          <w:szCs w:val="28"/>
        </w:rPr>
        <w:t xml:space="preserve"> - курирование деятельности </w:t>
      </w:r>
      <w:r w:rsidR="00D44ED8" w:rsidRPr="00834464">
        <w:rPr>
          <w:rStyle w:val="a4"/>
          <w:b w:val="0"/>
          <w:sz w:val="28"/>
          <w:szCs w:val="28"/>
        </w:rPr>
        <w:t>региональных инновационных площадок (РИП)</w:t>
      </w:r>
      <w:r w:rsidR="00D44ED8" w:rsidRPr="00834464">
        <w:rPr>
          <w:sz w:val="28"/>
          <w:szCs w:val="28"/>
        </w:rPr>
        <w:t xml:space="preserve"> как полигонов для отработки и тиражирования эффективных моделей наставничества. Под моим непосредственным руководством функционируют и развиваются</w:t>
      </w:r>
      <w:r w:rsidR="002719E3" w:rsidRPr="00834464">
        <w:rPr>
          <w:sz w:val="28"/>
          <w:szCs w:val="28"/>
        </w:rPr>
        <w:t xml:space="preserve"> </w:t>
      </w:r>
      <w:r w:rsidR="002719E3" w:rsidRPr="00834464">
        <w:rPr>
          <w:sz w:val="28"/>
          <w:szCs w:val="28"/>
        </w:rPr>
        <w:lastRenderedPageBreak/>
        <w:t>региональные инновационные площадки по направлениям «наставничество», «молодые педагоги»</w:t>
      </w:r>
      <w:r w:rsidR="00D44ED8" w:rsidRPr="00834464">
        <w:rPr>
          <w:sz w:val="28"/>
          <w:szCs w:val="28"/>
        </w:rPr>
        <w:t>:</w:t>
      </w:r>
    </w:p>
    <w:p w:rsidR="00D44ED8" w:rsidRPr="00834464" w:rsidRDefault="00D44ED8" w:rsidP="00E629D2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64">
        <w:rPr>
          <w:sz w:val="28"/>
          <w:szCs w:val="28"/>
        </w:rPr>
        <w:t>Результатом работы площад</w:t>
      </w:r>
      <w:r w:rsidR="002719E3" w:rsidRPr="00834464">
        <w:rPr>
          <w:sz w:val="28"/>
          <w:szCs w:val="28"/>
        </w:rPr>
        <w:t>о</w:t>
      </w:r>
      <w:r w:rsidRPr="00834464">
        <w:rPr>
          <w:sz w:val="28"/>
          <w:szCs w:val="28"/>
        </w:rPr>
        <w:t xml:space="preserve">к </w:t>
      </w:r>
      <w:r w:rsidR="004050FE">
        <w:rPr>
          <w:sz w:val="28"/>
          <w:szCs w:val="28"/>
        </w:rPr>
        <w:t xml:space="preserve">к 2026 году </w:t>
      </w:r>
      <w:r w:rsidRPr="00834464">
        <w:rPr>
          <w:sz w:val="28"/>
          <w:szCs w:val="28"/>
        </w:rPr>
        <w:t>ста</w:t>
      </w:r>
      <w:r w:rsidR="002719E3" w:rsidRPr="00834464">
        <w:rPr>
          <w:sz w:val="28"/>
          <w:szCs w:val="28"/>
        </w:rPr>
        <w:t xml:space="preserve">нет </w:t>
      </w:r>
      <w:r w:rsidRPr="00834464">
        <w:rPr>
          <w:sz w:val="28"/>
          <w:szCs w:val="28"/>
        </w:rPr>
        <w:t xml:space="preserve">создание и внедрение в регионе </w:t>
      </w:r>
      <w:r w:rsidRPr="00834464">
        <w:rPr>
          <w:rStyle w:val="a4"/>
          <w:b w:val="0"/>
          <w:sz w:val="28"/>
          <w:szCs w:val="28"/>
        </w:rPr>
        <w:t>"</w:t>
      </w:r>
      <w:r w:rsidR="002719E3" w:rsidRPr="00834464">
        <w:rPr>
          <w:rStyle w:val="a4"/>
          <w:b w:val="0"/>
          <w:sz w:val="28"/>
          <w:szCs w:val="28"/>
        </w:rPr>
        <w:t>Педагогической игротеки</w:t>
      </w:r>
      <w:r w:rsidRPr="00834464">
        <w:rPr>
          <w:rStyle w:val="a4"/>
          <w:b w:val="0"/>
          <w:sz w:val="28"/>
          <w:szCs w:val="28"/>
        </w:rPr>
        <w:t>"</w:t>
      </w:r>
      <w:r w:rsidRPr="00834464">
        <w:rPr>
          <w:sz w:val="28"/>
          <w:szCs w:val="28"/>
        </w:rPr>
        <w:t xml:space="preserve"> - инструмента мониторинга</w:t>
      </w:r>
      <w:r w:rsidR="002719E3" w:rsidRPr="00834464">
        <w:rPr>
          <w:sz w:val="28"/>
          <w:szCs w:val="28"/>
        </w:rPr>
        <w:t xml:space="preserve"> и профилактики профессиональных дефицитов молодых специалистов в формате комплекса настольных игр. </w:t>
      </w:r>
      <w:r w:rsidRPr="00834464">
        <w:rPr>
          <w:sz w:val="28"/>
          <w:szCs w:val="28"/>
        </w:rPr>
        <w:t xml:space="preserve"> </w:t>
      </w:r>
    </w:p>
    <w:p w:rsidR="004050FE" w:rsidRDefault="004050FE" w:rsidP="00B55D99">
      <w:pPr>
        <w:spacing w:after="0" w:line="360" w:lineRule="auto"/>
        <w:ind w:left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4A72" w:rsidRPr="00834464" w:rsidRDefault="00E93F49" w:rsidP="00B55D99">
      <w:pPr>
        <w:spacing w:after="0" w:line="360" w:lineRule="auto"/>
        <w:ind w:left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5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Уникальность и </w:t>
      </w:r>
      <w:proofErr w:type="spellStart"/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инновационность</w:t>
      </w:r>
      <w:proofErr w:type="spellEnd"/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Уникальность представленной практики заключается в создании </w:t>
      </w:r>
      <w:r w:rsidR="004A4A72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елостной экосистемы наставничества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обладающей следующими инновационными характеристиками: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Саморазвивающийся характер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обладает способностью к внутренней эволюции. Выпускники программ наставничества естественным образом включаются в наставническую деятельность, </w:t>
      </w:r>
      <w:r w:rsidRPr="0083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создавая эффект «цепной реакции». За последние три года 45% молодых педагогов, прошедших полный цикл сопровождения, стали наставниками для следующего поколения начинающих учителей.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Краеведческий акцент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интеграция регионального компонента в содержание наставнических программ. Разработанный мной модуль «Педагогическое краеведение» позволяет молодым учителям осваивать профессиональные компетенции через призму культурно-исторического контекста Липецкой области.</w:t>
      </w:r>
    </w:p>
    <w:p w:rsidR="00E93F49" w:rsidRPr="00834464" w:rsidRDefault="00E93F49" w:rsidP="00B55D99">
      <w:pPr>
        <w:spacing w:after="0" w:line="360" w:lineRule="auto"/>
        <w:ind w:left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5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Результативность и системность 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Количественные результаты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период 2020-202</w:t>
      </w:r>
      <w:r w:rsidR="00B55D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гг.):</w:t>
      </w:r>
    </w:p>
    <w:p w:rsidR="00E93F49" w:rsidRPr="00834464" w:rsidRDefault="00E93F49" w:rsidP="00B55D99">
      <w:pPr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системой наставничества - </w:t>
      </w:r>
      <w:r w:rsidRPr="0083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89% молодых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области (более 1200 человек)</w:t>
      </w:r>
    </w:p>
    <w:p w:rsidR="00E93F49" w:rsidRPr="00834464" w:rsidRDefault="00E93F49" w:rsidP="00B55D99">
      <w:pPr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показателя профессионального выгорания среди начинающих учителей </w:t>
      </w:r>
      <w:r w:rsidRPr="0083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68% до 32%</w:t>
      </w:r>
    </w:p>
    <w:p w:rsidR="00E93F49" w:rsidRPr="00834464" w:rsidRDefault="00E93F49" w:rsidP="00B55D99">
      <w:pPr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молодых педагогов, участвующих в конкурсном движении, с 15% до 65%</w:t>
      </w:r>
    </w:p>
    <w:p w:rsidR="00E93F49" w:rsidRPr="00834464" w:rsidRDefault="00E93F49" w:rsidP="00B55D99">
      <w:pPr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 количества молодых учителей, занимающих руководящие должности</w:t>
      </w:r>
      <w:r w:rsidRPr="0083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3% до 18%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Качественные изменения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F49" w:rsidRPr="00834464" w:rsidRDefault="00E93F49" w:rsidP="00B55D99">
      <w:pPr>
        <w:numPr>
          <w:ilvl w:val="0"/>
          <w:numId w:val="14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корпоративной идентичности - 94% участников Ассоциации отмечают чувство принадлежности к региональному педагогическому сообществу</w:t>
      </w:r>
    </w:p>
    <w:p w:rsidR="00E93F49" w:rsidRPr="00834464" w:rsidRDefault="00E93F49" w:rsidP="00B55D99">
      <w:pPr>
        <w:numPr>
          <w:ilvl w:val="0"/>
          <w:numId w:val="14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профессиональной рефлексии - систематическое ведение профессиональных портфолио, анализ и самоанализ педагогической деятельности</w:t>
      </w:r>
    </w:p>
    <w:p w:rsidR="00E93F49" w:rsidRPr="00834464" w:rsidRDefault="00E93F49" w:rsidP="00B55D99">
      <w:pPr>
        <w:numPr>
          <w:ilvl w:val="0"/>
          <w:numId w:val="14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лидерских качеств </w:t>
      </w:r>
      <w:r w:rsidRPr="00834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- 72% молодых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принимают участие в организации мероприятий Ассоциации</w:t>
      </w:r>
    </w:p>
    <w:p w:rsidR="00E93F49" w:rsidRPr="00834464" w:rsidRDefault="00E93F49" w:rsidP="00B55D99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Системные эффекты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F49" w:rsidRPr="00834464" w:rsidRDefault="00E93F49" w:rsidP="00B55D99">
      <w:pPr>
        <w:numPr>
          <w:ilvl w:val="0"/>
          <w:numId w:val="15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кадрового резерва управленческих кадров системы образования области</w:t>
      </w:r>
    </w:p>
    <w:p w:rsidR="00E93F49" w:rsidRPr="00834464" w:rsidRDefault="00E93F49" w:rsidP="00B55D99">
      <w:pPr>
        <w:numPr>
          <w:ilvl w:val="0"/>
          <w:numId w:val="15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имиджа педагогической профессии в регионе</w:t>
      </w:r>
    </w:p>
    <w:p w:rsidR="00E93F49" w:rsidRPr="00834464" w:rsidRDefault="00E93F49" w:rsidP="00B55D99">
      <w:pPr>
        <w:numPr>
          <w:ilvl w:val="0"/>
          <w:numId w:val="15"/>
        </w:num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в школах с высоким процентом молодых специалистов</w:t>
      </w:r>
    </w:p>
    <w:p w:rsidR="00D44ED8" w:rsidRPr="00834464" w:rsidRDefault="00D44ED8" w:rsidP="00E629D2">
      <w:pPr>
        <w:pStyle w:val="ds-markdown-paragraph"/>
        <w:numPr>
          <w:ilvl w:val="0"/>
          <w:numId w:val="19"/>
        </w:numPr>
        <w:spacing w:line="360" w:lineRule="auto"/>
        <w:ind w:left="142" w:firstLine="567"/>
        <w:rPr>
          <w:sz w:val="28"/>
          <w:szCs w:val="28"/>
        </w:rPr>
      </w:pPr>
      <w:r w:rsidRPr="00834464">
        <w:rPr>
          <w:rStyle w:val="a4"/>
          <w:b w:val="0"/>
          <w:sz w:val="28"/>
          <w:szCs w:val="28"/>
        </w:rPr>
        <w:t>Создание сети региональных инновационных площадок</w:t>
      </w:r>
      <w:r w:rsidR="004050FE">
        <w:rPr>
          <w:sz w:val="28"/>
          <w:szCs w:val="28"/>
        </w:rPr>
        <w:t xml:space="preserve"> - 5 действующих РИП</w:t>
      </w:r>
      <w:bookmarkStart w:id="0" w:name="_GoBack"/>
      <w:bookmarkEnd w:id="0"/>
    </w:p>
    <w:p w:rsidR="00D44ED8" w:rsidRPr="00834464" w:rsidRDefault="00D44ED8" w:rsidP="00E629D2">
      <w:pPr>
        <w:pStyle w:val="ds-markdown-paragraph"/>
        <w:numPr>
          <w:ilvl w:val="0"/>
          <w:numId w:val="19"/>
        </w:numPr>
        <w:spacing w:line="360" w:lineRule="auto"/>
        <w:ind w:left="142" w:firstLine="567"/>
        <w:rPr>
          <w:sz w:val="28"/>
          <w:szCs w:val="28"/>
        </w:rPr>
      </w:pPr>
      <w:r w:rsidRPr="00834464">
        <w:rPr>
          <w:rStyle w:val="a4"/>
          <w:b w:val="0"/>
          <w:sz w:val="28"/>
          <w:szCs w:val="28"/>
        </w:rPr>
        <w:t>Формирование системы быстрого тиражирования успешных практик</w:t>
      </w:r>
      <w:r w:rsidRPr="00834464">
        <w:rPr>
          <w:sz w:val="28"/>
          <w:szCs w:val="28"/>
        </w:rPr>
        <w:t xml:space="preserve"> - от экспериментальной площадки до массового внедрения за 6-9 месяцев</w:t>
      </w:r>
    </w:p>
    <w:p w:rsidR="00E93F49" w:rsidRPr="00834464" w:rsidRDefault="00E93F49" w:rsidP="00B61AAD">
      <w:pPr>
        <w:spacing w:after="0" w:line="360" w:lineRule="auto"/>
        <w:ind w:left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05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Технология распространения</w:t>
      </w:r>
    </w:p>
    <w:p w:rsidR="00E93F49" w:rsidRPr="00834464" w:rsidRDefault="00E93F49" w:rsidP="00B55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практика обладает значительным потенциалом тиражирования, обеспеченным следующими факторами:</w:t>
      </w:r>
    </w:p>
    <w:p w:rsidR="00E93F49" w:rsidRPr="00834464" w:rsidRDefault="00E93F49" w:rsidP="00B55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Адаптивность модели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может быть масштабирована как на уровень отдельной образовательной организации, так и на уровень субъекта Федерации. Разработанный мной алгоритм внедрения включает этапы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диагностики, проектирования, апробации и корректировки с учетом региональной специфики.</w:t>
      </w:r>
    </w:p>
    <w:p w:rsidR="00E93F49" w:rsidRPr="00834464" w:rsidRDefault="00E93F49" w:rsidP="00B55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Ресурсная эффективность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модель не требует значительных дополнительных финансовых вложений, поскольку использует существующую инфраструктуру институтов развития образования и опирается на внутренние резервы педагогического сообщества.</w:t>
      </w:r>
    </w:p>
    <w:p w:rsidR="00E93F49" w:rsidRPr="00834464" w:rsidRDefault="00E93F49" w:rsidP="00B55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Сетевой принцип распространения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практика уже транслируется в другие регионы через механизмы межрегионального сотрудничества. 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 Липецкой области был представлен в </w:t>
      </w:r>
      <w:r w:rsidR="004C6284"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5 субъектах Российской Федерации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A72" w:rsidRPr="00834464" w:rsidRDefault="004A4A72" w:rsidP="00B55D99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</w:p>
    <w:p w:rsidR="00E93F49" w:rsidRPr="00834464" w:rsidRDefault="00E93F49" w:rsidP="004A4A72">
      <w:pPr>
        <w:spacing w:before="100" w:beforeAutospacing="1" w:after="100" w:afterAutospacing="1" w:line="360" w:lineRule="auto"/>
        <w:ind w:left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344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3. Заключение</w:t>
      </w:r>
    </w:p>
    <w:p w:rsidR="00E93F49" w:rsidRPr="00834464" w:rsidRDefault="00E93F49" w:rsidP="00E629D2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практика институционального наставничества доказала свою эффективность как инструмент решения одной из наиболее острых проблем современного образования - воспроизводства и закрепления педагогических кадров. Созданная в Липецкой области экосистема профессионального роста демонстрирует устойчивые положительные результаты, выраженные не только в количественных показателях, но и в качественных изменениях регионального образовательного ландшафта.</w:t>
      </w:r>
    </w:p>
    <w:p w:rsidR="00E93F49" w:rsidRPr="00834464" w:rsidRDefault="00E93F49" w:rsidP="00E629D2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Глубокое убеждение, сформированное за годы реализации этой практики: 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наставничество сегодня - это не дополнительная нагрузка для руководителя, а ключевой механизм управления развитием человеческого капитала в образовании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Инвестируя время и ресурсы в создание системы поддержки молодых педагогов, мы получаем многократный эффект в виде повышения качества образования, укрепления профессионального сообщества и формирования нового поколения педагогических лидеров.</w:t>
      </w:r>
    </w:p>
    <w:p w:rsidR="00D44ED8" w:rsidRPr="00834464" w:rsidRDefault="00D44ED8" w:rsidP="00E629D2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"Эффективность созданной системы получила признание на региональном уровне, что подтверждается вручением мне 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Почетного знака "Наставник Липецкой области"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премии 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"Человек труда" в области образования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Особую гордость представляет созданная сеть </w:t>
      </w:r>
      <w:r w:rsidRPr="00834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инновационных площадок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стали настоящими "лабораториями" по отработке и тиражированию успешных практик наставничества. Эти площадки демонстрируют, как точечные инновации могут трансформироваться в системные изменения, влияющие на качество образования во всем регионе."</w:t>
      </w:r>
    </w:p>
    <w:p w:rsidR="00E93F49" w:rsidRPr="00834464" w:rsidRDefault="00E93F49" w:rsidP="00E629D2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Уверена, что распространение этой практики в других регионах Российской Федерации будет способствовать формированию единого образовательного пространства, основанного на принципах </w:t>
      </w:r>
      <w:r w:rsidRPr="0083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непрерывного профессионального роста, взаимной поддержки и ответственного лидерства. Готовность к тиражированию опыта, его методическая обеспеченность и доказанная эффективность позволяют рассматривать представленную систему как перспективную модель развития института наставничества в масштабах страны.</w:t>
      </w:r>
    </w:p>
    <w:p w:rsidR="00C17D62" w:rsidRPr="00834464" w:rsidRDefault="00C17D62" w:rsidP="00B61AAD">
      <w:pPr>
        <w:spacing w:after="0" w:line="360" w:lineRule="auto"/>
        <w:ind w:left="709"/>
        <w:jc w:val="both"/>
        <w:rPr>
          <w:sz w:val="28"/>
          <w:szCs w:val="28"/>
        </w:rPr>
      </w:pPr>
    </w:p>
    <w:sectPr w:rsidR="00C17D62" w:rsidRPr="00834464" w:rsidSect="00B61A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590"/>
    <w:multiLevelType w:val="multilevel"/>
    <w:tmpl w:val="C73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27389"/>
    <w:multiLevelType w:val="multilevel"/>
    <w:tmpl w:val="542C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810D7"/>
    <w:multiLevelType w:val="multilevel"/>
    <w:tmpl w:val="9B8A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A513E"/>
    <w:multiLevelType w:val="multilevel"/>
    <w:tmpl w:val="067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13D85"/>
    <w:multiLevelType w:val="multilevel"/>
    <w:tmpl w:val="B78A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B1668"/>
    <w:multiLevelType w:val="multilevel"/>
    <w:tmpl w:val="77A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B36E7"/>
    <w:multiLevelType w:val="multilevel"/>
    <w:tmpl w:val="EB68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5D05"/>
    <w:multiLevelType w:val="multilevel"/>
    <w:tmpl w:val="A64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D685B"/>
    <w:multiLevelType w:val="multilevel"/>
    <w:tmpl w:val="95EE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D4EA5"/>
    <w:multiLevelType w:val="multilevel"/>
    <w:tmpl w:val="BD68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A59D1"/>
    <w:multiLevelType w:val="multilevel"/>
    <w:tmpl w:val="C47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5691C"/>
    <w:multiLevelType w:val="multilevel"/>
    <w:tmpl w:val="65F4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A0788"/>
    <w:multiLevelType w:val="multilevel"/>
    <w:tmpl w:val="5DFA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246ADF"/>
    <w:multiLevelType w:val="multilevel"/>
    <w:tmpl w:val="89A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D0C1D"/>
    <w:multiLevelType w:val="multilevel"/>
    <w:tmpl w:val="C766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93EFF"/>
    <w:multiLevelType w:val="multilevel"/>
    <w:tmpl w:val="F62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87FCB"/>
    <w:multiLevelType w:val="multilevel"/>
    <w:tmpl w:val="ACE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C0BE0"/>
    <w:multiLevelType w:val="multilevel"/>
    <w:tmpl w:val="6A1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604DA"/>
    <w:multiLevelType w:val="multilevel"/>
    <w:tmpl w:val="98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2"/>
  </w:num>
  <w:num w:numId="5">
    <w:abstractNumId w:val="15"/>
  </w:num>
  <w:num w:numId="6">
    <w:abstractNumId w:val="8"/>
  </w:num>
  <w:num w:numId="7">
    <w:abstractNumId w:val="9"/>
  </w:num>
  <w:num w:numId="8">
    <w:abstractNumId w:val="4"/>
  </w:num>
  <w:num w:numId="9">
    <w:abstractNumId w:val="14"/>
  </w:num>
  <w:num w:numId="10">
    <w:abstractNumId w:val="7"/>
  </w:num>
  <w:num w:numId="11">
    <w:abstractNumId w:val="6"/>
  </w:num>
  <w:num w:numId="12">
    <w:abstractNumId w:val="12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2"/>
    <w:rsid w:val="00236BC1"/>
    <w:rsid w:val="002719E3"/>
    <w:rsid w:val="00370A9E"/>
    <w:rsid w:val="004050FE"/>
    <w:rsid w:val="004A4A72"/>
    <w:rsid w:val="004C6284"/>
    <w:rsid w:val="00550AA9"/>
    <w:rsid w:val="005F6FCE"/>
    <w:rsid w:val="00834464"/>
    <w:rsid w:val="00B55D99"/>
    <w:rsid w:val="00B61AAD"/>
    <w:rsid w:val="00C17D62"/>
    <w:rsid w:val="00D44ED8"/>
    <w:rsid w:val="00DC2CB9"/>
    <w:rsid w:val="00E629D2"/>
    <w:rsid w:val="00E63FB6"/>
    <w:rsid w:val="00E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C43C-6506-4482-995A-8E602B11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D62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D4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ED8"/>
    <w:rPr>
      <w:b/>
      <w:bCs/>
    </w:rPr>
  </w:style>
  <w:style w:type="paragraph" w:styleId="a5">
    <w:name w:val="List Paragraph"/>
    <w:basedOn w:val="a"/>
    <w:uiPriority w:val="34"/>
    <w:qFormat/>
    <w:rsid w:val="00E6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to:rector_gaudpo@admlr.lipet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0ACB-DE6D-44D9-B26C-4DA5E5C3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Yurii</cp:lastModifiedBy>
  <cp:revision>10</cp:revision>
  <dcterms:created xsi:type="dcterms:W3CDTF">2025-10-06T19:49:00Z</dcterms:created>
  <dcterms:modified xsi:type="dcterms:W3CDTF">2025-10-09T20:37:00Z</dcterms:modified>
</cp:coreProperties>
</file>