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20" w:rsidRDefault="00843BB2" w:rsidP="00843BB2">
      <w:pPr>
        <w:spacing w:after="0" w:line="259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экологичной среды в СФУ</w:t>
      </w:r>
    </w:p>
    <w:p w:rsidR="00843BB2" w:rsidRPr="00593449" w:rsidRDefault="00843BB2" w:rsidP="00593449">
      <w:pPr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FDD" w:rsidRPr="00593449" w:rsidRDefault="008A7FDD" w:rsidP="00593449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sz w:val="24"/>
          <w:szCs w:val="24"/>
        </w:rPr>
        <w:t xml:space="preserve">Одним из важных элементов устойчивого развития является формирование экосреды и экокультуры среди студентов. В Сибирском федеральном университете реализуется проект </w:t>
      </w:r>
      <w:r w:rsidRPr="00593449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593449">
        <w:rPr>
          <w:rFonts w:ascii="Times New Roman" w:hAnsi="Times New Roman" w:cs="Times New Roman"/>
          <w:sz w:val="24"/>
          <w:szCs w:val="24"/>
        </w:rPr>
        <w:t xml:space="preserve"> </w:t>
      </w:r>
      <w:r w:rsidRPr="00593449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593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49">
        <w:rPr>
          <w:rFonts w:ascii="Times New Roman" w:hAnsi="Times New Roman" w:cs="Times New Roman"/>
          <w:sz w:val="24"/>
          <w:szCs w:val="24"/>
          <w:lang w:val="en-US"/>
        </w:rPr>
        <w:t>SibFU</w:t>
      </w:r>
      <w:proofErr w:type="spellEnd"/>
      <w:r w:rsidRPr="00593449">
        <w:rPr>
          <w:rFonts w:ascii="Times New Roman" w:hAnsi="Times New Roman" w:cs="Times New Roman"/>
          <w:sz w:val="24"/>
          <w:szCs w:val="24"/>
        </w:rPr>
        <w:t xml:space="preserve">, который прочно вошел в историю университета, как масштабная акция по сбору макулатуры, пластика и батареек. </w:t>
      </w:r>
    </w:p>
    <w:p w:rsidR="00843BB2" w:rsidRDefault="00843BB2" w:rsidP="00593449">
      <w:pPr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FDD" w:rsidRPr="00593449" w:rsidRDefault="008A7FDD" w:rsidP="00593449">
      <w:pPr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449">
        <w:rPr>
          <w:rFonts w:ascii="Times New Roman" w:hAnsi="Times New Roman" w:cs="Times New Roman"/>
          <w:b/>
          <w:sz w:val="24"/>
          <w:szCs w:val="24"/>
        </w:rPr>
        <w:t>История, самое начало</w:t>
      </w:r>
      <w:r w:rsidR="00843BB2">
        <w:rPr>
          <w:rFonts w:ascii="Times New Roman" w:hAnsi="Times New Roman" w:cs="Times New Roman"/>
          <w:b/>
          <w:sz w:val="24"/>
          <w:szCs w:val="24"/>
        </w:rPr>
        <w:t>.</w:t>
      </w:r>
    </w:p>
    <w:p w:rsidR="008A7FDD" w:rsidRPr="00843BB2" w:rsidRDefault="008A7FDD" w:rsidP="00593449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sz w:val="24"/>
          <w:szCs w:val="24"/>
        </w:rPr>
        <w:t>Эко-акция стартовала в</w:t>
      </w:r>
      <w:r w:rsidR="00210D7D" w:rsidRPr="00593449">
        <w:rPr>
          <w:rFonts w:ascii="Times New Roman" w:hAnsi="Times New Roman" w:cs="Times New Roman"/>
          <w:sz w:val="24"/>
          <w:szCs w:val="24"/>
        </w:rPr>
        <w:t xml:space="preserve"> мае 2012 года, </w:t>
      </w:r>
      <w:r w:rsidRPr="00593449">
        <w:rPr>
          <w:rFonts w:ascii="Times New Roman" w:hAnsi="Times New Roman" w:cs="Times New Roman"/>
          <w:sz w:val="24"/>
          <w:szCs w:val="24"/>
        </w:rPr>
        <w:t xml:space="preserve">инициаторами </w:t>
      </w:r>
      <w:r w:rsidR="00210D7D" w:rsidRPr="00593449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Pr="00593449">
        <w:rPr>
          <w:rFonts w:ascii="Times New Roman" w:hAnsi="Times New Roman" w:cs="Times New Roman"/>
          <w:sz w:val="24"/>
          <w:szCs w:val="24"/>
        </w:rPr>
        <w:t xml:space="preserve">выступили студенты, а именно на </w:t>
      </w:r>
      <w:r w:rsidRPr="00843BB2">
        <w:rPr>
          <w:rFonts w:ascii="Times New Roman" w:hAnsi="Times New Roman" w:cs="Times New Roman"/>
          <w:sz w:val="24"/>
          <w:szCs w:val="24"/>
        </w:rPr>
        <w:t xml:space="preserve">тот момент Союз молодёжи СФУ и оргкомитет Института архитектуры и дизайна. </w:t>
      </w:r>
      <w:r w:rsidR="00843BB2" w:rsidRPr="00843BB2">
        <w:rPr>
          <w:rFonts w:ascii="Times New Roman" w:hAnsi="Times New Roman" w:cs="Times New Roman"/>
          <w:sz w:val="24"/>
          <w:szCs w:val="24"/>
        </w:rPr>
        <w:t xml:space="preserve">Активисты выступили с инициативой посадки деревьев </w:t>
      </w:r>
      <w:r w:rsidR="00843BB2">
        <w:rPr>
          <w:rFonts w:ascii="Times New Roman" w:hAnsi="Times New Roman" w:cs="Times New Roman"/>
          <w:sz w:val="24"/>
          <w:szCs w:val="24"/>
        </w:rPr>
        <w:t>рядом с территорией кампуса</w:t>
      </w:r>
      <w:r w:rsidR="00843BB2" w:rsidRPr="00843BB2">
        <w:rPr>
          <w:rFonts w:ascii="Times New Roman" w:hAnsi="Times New Roman" w:cs="Times New Roman"/>
          <w:sz w:val="24"/>
          <w:szCs w:val="24"/>
        </w:rPr>
        <w:t>.</w:t>
      </w:r>
      <w:r w:rsidR="00843BB2">
        <w:rPr>
          <w:rFonts w:ascii="Times New Roman" w:hAnsi="Times New Roman" w:cs="Times New Roman"/>
          <w:sz w:val="24"/>
          <w:szCs w:val="24"/>
        </w:rPr>
        <w:t xml:space="preserve"> Финансирование молодежной политики на то время было небольшое, и пришлось искать альтернативные источники дохода для того чтобы купить саженцы. </w:t>
      </w:r>
      <w:r w:rsidR="00622BD5">
        <w:rPr>
          <w:rFonts w:ascii="Times New Roman" w:hAnsi="Times New Roman" w:cs="Times New Roman"/>
          <w:sz w:val="24"/>
          <w:szCs w:val="24"/>
        </w:rPr>
        <w:t>За некоторое время до акции по высадке деревьев активистами была организована акция по сбору макулатуры. На вырученные средства от сдачи макулатуры в переработку были куплены саженцы.</w:t>
      </w:r>
    </w:p>
    <w:p w:rsidR="007329A3" w:rsidRDefault="0000517F" w:rsidP="00593449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Акция по сбору макулатуры стала круглогодичной. </w:t>
      </w:r>
      <w:r w:rsidR="008A7FDD" w:rsidRPr="00843BB2">
        <w:rPr>
          <w:rFonts w:ascii="Times New Roman" w:hAnsi="Times New Roman" w:cs="Times New Roman"/>
          <w:sz w:val="24"/>
          <w:szCs w:val="24"/>
        </w:rPr>
        <w:t>Первоначально, акция</w:t>
      </w:r>
      <w:r w:rsidR="008A7FDD" w:rsidRPr="00593449">
        <w:rPr>
          <w:rFonts w:ascii="Times New Roman" w:hAnsi="Times New Roman" w:cs="Times New Roman"/>
          <w:sz w:val="24"/>
          <w:szCs w:val="24"/>
        </w:rPr>
        <w:t xml:space="preserve"> проводилась только </w:t>
      </w:r>
      <w:r w:rsidR="00BD5820" w:rsidRPr="00593449">
        <w:rPr>
          <w:rFonts w:ascii="Times New Roman" w:hAnsi="Times New Roman" w:cs="Times New Roman"/>
          <w:sz w:val="24"/>
          <w:szCs w:val="24"/>
        </w:rPr>
        <w:t>на трех площадках университета, з</w:t>
      </w:r>
      <w:r w:rsidR="00747544" w:rsidRPr="00593449">
        <w:rPr>
          <w:rFonts w:ascii="Times New Roman" w:hAnsi="Times New Roman" w:cs="Times New Roman"/>
          <w:sz w:val="24"/>
          <w:szCs w:val="24"/>
        </w:rPr>
        <w:t xml:space="preserve">атем акция распространилась </w:t>
      </w:r>
      <w:r w:rsidR="008A7FDD" w:rsidRPr="00593449">
        <w:rPr>
          <w:rFonts w:ascii="Times New Roman" w:hAnsi="Times New Roman" w:cs="Times New Roman"/>
          <w:sz w:val="24"/>
          <w:szCs w:val="24"/>
        </w:rPr>
        <w:t xml:space="preserve">на все пять площадок, где </w:t>
      </w:r>
      <w:r w:rsidR="00BD5820" w:rsidRPr="00593449">
        <w:rPr>
          <w:rFonts w:ascii="Times New Roman" w:hAnsi="Times New Roman" w:cs="Times New Roman"/>
          <w:sz w:val="24"/>
          <w:szCs w:val="24"/>
        </w:rPr>
        <w:t>на каждой был организован сбор.</w:t>
      </w:r>
      <w:r w:rsidR="00747544" w:rsidRPr="00593449">
        <w:rPr>
          <w:rFonts w:ascii="Times New Roman" w:hAnsi="Times New Roman" w:cs="Times New Roman"/>
          <w:sz w:val="24"/>
          <w:szCs w:val="24"/>
        </w:rPr>
        <w:t xml:space="preserve"> </w:t>
      </w:r>
      <w:r w:rsidR="00BD5820" w:rsidRPr="00593449">
        <w:rPr>
          <w:rFonts w:ascii="Times New Roman" w:hAnsi="Times New Roman" w:cs="Times New Roman"/>
          <w:sz w:val="24"/>
          <w:szCs w:val="24"/>
        </w:rPr>
        <w:t>Д</w:t>
      </w:r>
      <w:r w:rsidR="008A7FDD" w:rsidRPr="00593449">
        <w:rPr>
          <w:rFonts w:ascii="Times New Roman" w:hAnsi="Times New Roman" w:cs="Times New Roman"/>
          <w:sz w:val="24"/>
          <w:szCs w:val="24"/>
        </w:rPr>
        <w:t xml:space="preserve">ля того чтобы повысить интерес у обучающих к сдаче вторсырья были предусмотрены крупные призы, которыми награждали победителей акции: </w:t>
      </w:r>
      <w:r w:rsidR="008A7FDD" w:rsidRPr="00593449">
        <w:rPr>
          <w:rFonts w:ascii="Times New Roman" w:hAnsi="Times New Roman" w:cs="Times New Roman"/>
          <w:sz w:val="24"/>
          <w:szCs w:val="24"/>
          <w:lang w:val="en-US"/>
        </w:rPr>
        <w:t>ipad</w:t>
      </w:r>
      <w:r w:rsidR="008A7FDD" w:rsidRPr="00593449">
        <w:rPr>
          <w:rFonts w:ascii="Times New Roman" w:hAnsi="Times New Roman" w:cs="Times New Roman"/>
          <w:sz w:val="24"/>
          <w:szCs w:val="24"/>
        </w:rPr>
        <w:t xml:space="preserve">, жесткий диск или электронная книга на выбор. </w:t>
      </w:r>
      <w:r w:rsidR="00C80990" w:rsidRPr="00593449">
        <w:rPr>
          <w:rFonts w:ascii="Times New Roman" w:hAnsi="Times New Roman" w:cs="Times New Roman"/>
          <w:sz w:val="24"/>
          <w:szCs w:val="24"/>
        </w:rPr>
        <w:t>Благодаря чему к</w:t>
      </w:r>
      <w:r w:rsidR="00254D4F" w:rsidRPr="00593449">
        <w:rPr>
          <w:rFonts w:ascii="Times New Roman" w:hAnsi="Times New Roman" w:cs="Times New Roman"/>
          <w:sz w:val="24"/>
          <w:szCs w:val="24"/>
        </w:rPr>
        <w:t xml:space="preserve">оличество участников акции возросло в </w:t>
      </w:r>
      <w:r w:rsidR="00C80990" w:rsidRPr="00593449">
        <w:rPr>
          <w:rFonts w:ascii="Times New Roman" w:hAnsi="Times New Roman" w:cs="Times New Roman"/>
          <w:sz w:val="24"/>
          <w:szCs w:val="24"/>
        </w:rPr>
        <w:t xml:space="preserve">несколько раз, </w:t>
      </w:r>
      <w:r w:rsidR="00202B6B" w:rsidRPr="00593449">
        <w:rPr>
          <w:rFonts w:ascii="Times New Roman" w:hAnsi="Times New Roman" w:cs="Times New Roman"/>
          <w:sz w:val="24"/>
          <w:szCs w:val="24"/>
        </w:rPr>
        <w:t>что подтверждает</w:t>
      </w:r>
      <w:r w:rsidR="00747544" w:rsidRPr="00593449">
        <w:rPr>
          <w:rFonts w:ascii="Times New Roman" w:hAnsi="Times New Roman" w:cs="Times New Roman"/>
          <w:sz w:val="24"/>
          <w:szCs w:val="24"/>
        </w:rPr>
        <w:t>ся</w:t>
      </w:r>
      <w:r w:rsidR="00202B6B" w:rsidRPr="00593449">
        <w:rPr>
          <w:rFonts w:ascii="Times New Roman" w:hAnsi="Times New Roman" w:cs="Times New Roman"/>
          <w:sz w:val="24"/>
          <w:szCs w:val="24"/>
        </w:rPr>
        <w:t xml:space="preserve"> и рост</w:t>
      </w:r>
      <w:r w:rsidR="00747544" w:rsidRPr="00593449">
        <w:rPr>
          <w:rFonts w:ascii="Times New Roman" w:hAnsi="Times New Roman" w:cs="Times New Roman"/>
          <w:sz w:val="24"/>
          <w:szCs w:val="24"/>
        </w:rPr>
        <w:t>ом в количестве макулатуры за 2013</w:t>
      </w:r>
      <w:r w:rsidR="00202B6B" w:rsidRPr="00593449">
        <w:rPr>
          <w:rFonts w:ascii="Times New Roman" w:hAnsi="Times New Roman" w:cs="Times New Roman"/>
          <w:sz w:val="24"/>
          <w:szCs w:val="24"/>
        </w:rPr>
        <w:t xml:space="preserve"> </w:t>
      </w:r>
      <w:r w:rsidR="00202B6B" w:rsidRPr="00165BDB">
        <w:rPr>
          <w:rFonts w:ascii="Times New Roman" w:hAnsi="Times New Roman" w:cs="Times New Roman"/>
          <w:sz w:val="24"/>
          <w:szCs w:val="24"/>
        </w:rPr>
        <w:t>год (график 1).</w:t>
      </w:r>
      <w:r w:rsidR="00202B6B" w:rsidRPr="00593449">
        <w:rPr>
          <w:rFonts w:ascii="Times New Roman" w:hAnsi="Times New Roman" w:cs="Times New Roman"/>
          <w:sz w:val="24"/>
          <w:szCs w:val="24"/>
        </w:rPr>
        <w:t xml:space="preserve"> П</w:t>
      </w:r>
      <w:r w:rsidR="00254D4F" w:rsidRPr="00593449">
        <w:rPr>
          <w:rFonts w:ascii="Times New Roman" w:hAnsi="Times New Roman" w:cs="Times New Roman"/>
          <w:sz w:val="24"/>
          <w:szCs w:val="24"/>
        </w:rPr>
        <w:t>ро акцию узнали бо</w:t>
      </w:r>
      <w:r w:rsidR="00202B6B" w:rsidRPr="00593449">
        <w:rPr>
          <w:rFonts w:ascii="Times New Roman" w:hAnsi="Times New Roman" w:cs="Times New Roman"/>
          <w:sz w:val="24"/>
          <w:szCs w:val="24"/>
        </w:rPr>
        <w:t>льше сотрудников и студентов (</w:t>
      </w:r>
      <w:r w:rsidR="00254D4F" w:rsidRPr="00593449">
        <w:rPr>
          <w:rFonts w:ascii="Times New Roman" w:hAnsi="Times New Roman" w:cs="Times New Roman"/>
          <w:sz w:val="24"/>
          <w:szCs w:val="24"/>
        </w:rPr>
        <w:t>анонсирование проводилось  посредством группы в ВК</w:t>
      </w:r>
      <w:r w:rsidR="008A7FDD" w:rsidRPr="00593449">
        <w:rPr>
          <w:rFonts w:ascii="Times New Roman" w:hAnsi="Times New Roman" w:cs="Times New Roman"/>
          <w:sz w:val="24"/>
          <w:szCs w:val="24"/>
        </w:rPr>
        <w:t>, сайт</w:t>
      </w:r>
      <w:r w:rsidR="00254D4F" w:rsidRPr="00593449">
        <w:rPr>
          <w:rFonts w:ascii="Times New Roman" w:hAnsi="Times New Roman" w:cs="Times New Roman"/>
          <w:sz w:val="24"/>
          <w:szCs w:val="24"/>
        </w:rPr>
        <w:t>а</w:t>
      </w:r>
      <w:r w:rsidR="008A7FDD" w:rsidRPr="00593449">
        <w:rPr>
          <w:rFonts w:ascii="Times New Roman" w:hAnsi="Times New Roman" w:cs="Times New Roman"/>
          <w:sz w:val="24"/>
          <w:szCs w:val="24"/>
        </w:rPr>
        <w:t xml:space="preserve"> университета, плазменны</w:t>
      </w:r>
      <w:r w:rsidR="00254D4F" w:rsidRPr="00593449">
        <w:rPr>
          <w:rFonts w:ascii="Times New Roman" w:hAnsi="Times New Roman" w:cs="Times New Roman"/>
          <w:sz w:val="24"/>
          <w:szCs w:val="24"/>
        </w:rPr>
        <w:t>х</w:t>
      </w:r>
      <w:r w:rsidR="008A7FDD" w:rsidRPr="00593449">
        <w:rPr>
          <w:rFonts w:ascii="Times New Roman" w:hAnsi="Times New Roman" w:cs="Times New Roman"/>
          <w:sz w:val="24"/>
          <w:szCs w:val="24"/>
        </w:rPr>
        <w:t xml:space="preserve"> п</w:t>
      </w:r>
      <w:r w:rsidR="00254D4F" w:rsidRPr="00593449">
        <w:rPr>
          <w:rFonts w:ascii="Times New Roman" w:hAnsi="Times New Roman" w:cs="Times New Roman"/>
          <w:sz w:val="24"/>
          <w:szCs w:val="24"/>
        </w:rPr>
        <w:t>анелей, новостей в газету</w:t>
      </w:r>
      <w:r w:rsidR="00747544" w:rsidRPr="00593449">
        <w:rPr>
          <w:rFonts w:ascii="Times New Roman" w:hAnsi="Times New Roman" w:cs="Times New Roman"/>
          <w:sz w:val="24"/>
          <w:szCs w:val="24"/>
        </w:rPr>
        <w:t xml:space="preserve">). С этого же года в пунктах сбора стали принимать пластик и </w:t>
      </w:r>
      <w:r w:rsidR="00747544" w:rsidRPr="00165BDB">
        <w:rPr>
          <w:rFonts w:ascii="Times New Roman" w:hAnsi="Times New Roman" w:cs="Times New Roman"/>
          <w:sz w:val="24"/>
          <w:szCs w:val="24"/>
        </w:rPr>
        <w:t>батарейки (график 2)</w:t>
      </w:r>
      <w:r w:rsidR="00FC31A4" w:rsidRPr="00165BDB">
        <w:rPr>
          <w:rFonts w:ascii="Times New Roman" w:hAnsi="Times New Roman" w:cs="Times New Roman"/>
          <w:sz w:val="24"/>
          <w:szCs w:val="24"/>
        </w:rPr>
        <w:t>. Впоследствии</w:t>
      </w:r>
      <w:r w:rsidR="00FC31A4" w:rsidRPr="00593449">
        <w:rPr>
          <w:rFonts w:ascii="Times New Roman" w:hAnsi="Times New Roman" w:cs="Times New Roman"/>
          <w:sz w:val="24"/>
          <w:szCs w:val="24"/>
        </w:rPr>
        <w:t xml:space="preserve"> акция переросла в большой системный проект, под эгидой которого реализовывались и другие экологический проекты. </w:t>
      </w:r>
      <w:r w:rsidR="007329A3" w:rsidRPr="00593449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BD5820" w:rsidRPr="00593449">
        <w:rPr>
          <w:rFonts w:ascii="Times New Roman" w:hAnsi="Times New Roman" w:cs="Times New Roman"/>
          <w:sz w:val="24"/>
          <w:szCs w:val="24"/>
        </w:rPr>
        <w:t>с 2015 года начали активно сотрудничать со средними общеобразовательными учреждениями города Красноярска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593449">
        <w:rPr>
          <w:rFonts w:ascii="Times New Roman" w:hAnsi="Times New Roman" w:cs="Times New Roman"/>
          <w:sz w:val="24"/>
          <w:szCs w:val="24"/>
        </w:rPr>
        <w:t>олонтеры и преподаватели</w:t>
      </w:r>
      <w:r>
        <w:rPr>
          <w:rFonts w:ascii="Times New Roman" w:hAnsi="Times New Roman" w:cs="Times New Roman"/>
          <w:sz w:val="24"/>
          <w:szCs w:val="24"/>
        </w:rPr>
        <w:t xml:space="preserve"> организовали в</w:t>
      </w:r>
      <w:r w:rsidR="00BD5820" w:rsidRPr="00593449">
        <w:rPr>
          <w:rFonts w:ascii="Times New Roman" w:hAnsi="Times New Roman" w:cs="Times New Roman"/>
          <w:sz w:val="24"/>
          <w:szCs w:val="24"/>
        </w:rPr>
        <w:t xml:space="preserve"> школах сбор</w:t>
      </w:r>
      <w:r w:rsidR="007329A3" w:rsidRPr="00593449">
        <w:rPr>
          <w:rFonts w:ascii="Times New Roman" w:hAnsi="Times New Roman" w:cs="Times New Roman"/>
          <w:sz w:val="24"/>
          <w:szCs w:val="24"/>
        </w:rPr>
        <w:t xml:space="preserve"> макулатуры, пластика и батареек</w:t>
      </w:r>
      <w:r>
        <w:rPr>
          <w:rFonts w:ascii="Times New Roman" w:hAnsi="Times New Roman" w:cs="Times New Roman"/>
          <w:sz w:val="24"/>
          <w:szCs w:val="24"/>
        </w:rPr>
        <w:t>. Также дополнительным стимулом для участия школ в акции являлось до</w:t>
      </w:r>
      <w:r w:rsidR="00165BDB">
        <w:rPr>
          <w:rFonts w:ascii="Times New Roman" w:hAnsi="Times New Roman" w:cs="Times New Roman"/>
          <w:sz w:val="24"/>
          <w:szCs w:val="24"/>
        </w:rPr>
        <w:t>бавление дополнительных баллов к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ЕГЭ при поступлении в СФУ (за волонтерскую деятельност</w:t>
      </w:r>
      <w:r w:rsidR="00165BD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7329A3" w:rsidRPr="005934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329A3" w:rsidRPr="00593449">
        <w:rPr>
          <w:rFonts w:ascii="Times New Roman" w:hAnsi="Times New Roman" w:cs="Times New Roman"/>
          <w:sz w:val="24"/>
          <w:szCs w:val="24"/>
        </w:rPr>
        <w:t xml:space="preserve">татистика участвующих школ представлена на </w:t>
      </w:r>
      <w:r w:rsidR="007329A3" w:rsidRPr="00165BDB">
        <w:rPr>
          <w:rFonts w:ascii="Times New Roman" w:hAnsi="Times New Roman" w:cs="Times New Roman"/>
          <w:sz w:val="24"/>
          <w:szCs w:val="24"/>
        </w:rPr>
        <w:t xml:space="preserve">графике </w:t>
      </w:r>
      <w:r w:rsidR="00BD5820" w:rsidRPr="00165BDB">
        <w:rPr>
          <w:rFonts w:ascii="Times New Roman" w:hAnsi="Times New Roman" w:cs="Times New Roman"/>
          <w:sz w:val="24"/>
          <w:szCs w:val="24"/>
        </w:rPr>
        <w:t>3</w:t>
      </w:r>
      <w:r w:rsidR="007329A3" w:rsidRPr="00165BDB">
        <w:rPr>
          <w:rFonts w:ascii="Times New Roman" w:hAnsi="Times New Roman" w:cs="Times New Roman"/>
          <w:sz w:val="24"/>
          <w:szCs w:val="24"/>
        </w:rPr>
        <w:t>.</w:t>
      </w:r>
      <w:r w:rsidR="007329A3" w:rsidRPr="00593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449" w:rsidRPr="00593449" w:rsidRDefault="00593449" w:rsidP="00593449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0E30" w:rsidRPr="00593449" w:rsidRDefault="008D683D" w:rsidP="00593449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02204" cy="2487827"/>
            <wp:effectExtent l="19050" t="0" r="26996" b="7723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7FDD" w:rsidRPr="00593449" w:rsidRDefault="008D683D" w:rsidP="00593449">
      <w:pPr>
        <w:spacing w:after="0" w:line="259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sz w:val="24"/>
          <w:szCs w:val="24"/>
        </w:rPr>
        <w:t xml:space="preserve">График 1 - Результаты акции </w:t>
      </w:r>
      <w:r w:rsidR="00747544" w:rsidRPr="00593449">
        <w:rPr>
          <w:rFonts w:ascii="Times New Roman" w:hAnsi="Times New Roman" w:cs="Times New Roman"/>
          <w:sz w:val="24"/>
          <w:szCs w:val="24"/>
        </w:rPr>
        <w:t>(</w:t>
      </w:r>
      <w:r w:rsidRPr="00593449">
        <w:rPr>
          <w:rFonts w:ascii="Times New Roman" w:hAnsi="Times New Roman" w:cs="Times New Roman"/>
          <w:sz w:val="24"/>
          <w:szCs w:val="24"/>
        </w:rPr>
        <w:t>макулатур</w:t>
      </w:r>
      <w:r w:rsidR="00747544" w:rsidRPr="00593449">
        <w:rPr>
          <w:rFonts w:ascii="Times New Roman" w:hAnsi="Times New Roman" w:cs="Times New Roman"/>
          <w:sz w:val="24"/>
          <w:szCs w:val="24"/>
        </w:rPr>
        <w:t>а)</w:t>
      </w:r>
      <w:r w:rsidRPr="00593449">
        <w:rPr>
          <w:rFonts w:ascii="Times New Roman" w:hAnsi="Times New Roman" w:cs="Times New Roman"/>
          <w:sz w:val="24"/>
          <w:szCs w:val="24"/>
        </w:rPr>
        <w:t xml:space="preserve"> с 2012 года</w:t>
      </w:r>
    </w:p>
    <w:p w:rsidR="008A7FDD" w:rsidRPr="00593449" w:rsidRDefault="008D683D" w:rsidP="00593449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97793" cy="2693773"/>
            <wp:effectExtent l="19050" t="0" r="12357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7544" w:rsidRDefault="00747544" w:rsidP="00593449">
      <w:pPr>
        <w:spacing w:after="0" w:line="259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sz w:val="24"/>
          <w:szCs w:val="24"/>
        </w:rPr>
        <w:t>График 2 – Результаты акции (пластик, батарейки) с 2013 года</w:t>
      </w:r>
    </w:p>
    <w:p w:rsidR="006960D2" w:rsidRPr="00593449" w:rsidRDefault="006960D2" w:rsidP="00593449">
      <w:pPr>
        <w:spacing w:after="0" w:line="259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7FDD" w:rsidRPr="00593449" w:rsidRDefault="00BD5820" w:rsidP="00593449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6604" cy="2743200"/>
            <wp:effectExtent l="19050" t="0" r="15446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5820" w:rsidRDefault="00BD5820" w:rsidP="00593449">
      <w:pPr>
        <w:spacing w:after="0" w:line="259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sz w:val="24"/>
          <w:szCs w:val="24"/>
        </w:rPr>
        <w:t xml:space="preserve">График 3 – Участие школ в акции </w:t>
      </w:r>
      <w:r w:rsidRPr="00593449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593449">
        <w:rPr>
          <w:rFonts w:ascii="Times New Roman" w:hAnsi="Times New Roman" w:cs="Times New Roman"/>
          <w:sz w:val="24"/>
          <w:szCs w:val="24"/>
        </w:rPr>
        <w:t xml:space="preserve"> </w:t>
      </w:r>
      <w:r w:rsidRPr="00593449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593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449">
        <w:rPr>
          <w:rFonts w:ascii="Times New Roman" w:hAnsi="Times New Roman" w:cs="Times New Roman"/>
          <w:sz w:val="24"/>
          <w:szCs w:val="24"/>
          <w:lang w:val="en-US"/>
        </w:rPr>
        <w:t>SibFU</w:t>
      </w:r>
      <w:proofErr w:type="spellEnd"/>
    </w:p>
    <w:p w:rsidR="006960D2" w:rsidRPr="006960D2" w:rsidRDefault="006960D2" w:rsidP="00593449">
      <w:pPr>
        <w:spacing w:after="0" w:line="259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6219" w:rsidRPr="00593449" w:rsidRDefault="004173DA" w:rsidP="00593449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sz w:val="24"/>
          <w:szCs w:val="24"/>
        </w:rPr>
        <w:t>В</w:t>
      </w:r>
      <w:r w:rsidR="00E16219" w:rsidRPr="00593449">
        <w:rPr>
          <w:rFonts w:ascii="Times New Roman" w:hAnsi="Times New Roman" w:cs="Times New Roman"/>
          <w:sz w:val="24"/>
          <w:szCs w:val="24"/>
        </w:rPr>
        <w:t xml:space="preserve"> 2015 году для сотрудников СФУ появилась возможность сдать макулатуру в любое время, без привязки к акции. Для этого необходимо заполнить заявку на забор макулатуры на официальном сайте университета. После её заполнения с ответственным от подразделения связываются волонтеры и организуют вынос макулатуры из любого корпуса СФУ.</w:t>
      </w:r>
      <w:r w:rsidR="00D6430F" w:rsidRPr="00593449">
        <w:rPr>
          <w:rFonts w:ascii="Times New Roman" w:hAnsi="Times New Roman" w:cs="Times New Roman"/>
          <w:sz w:val="24"/>
          <w:szCs w:val="24"/>
        </w:rPr>
        <w:t xml:space="preserve"> Статистика сдачи макулатуры</w:t>
      </w:r>
      <w:r w:rsidRPr="00593449">
        <w:rPr>
          <w:rFonts w:ascii="Times New Roman" w:hAnsi="Times New Roman" w:cs="Times New Roman"/>
          <w:sz w:val="24"/>
          <w:szCs w:val="24"/>
        </w:rPr>
        <w:t xml:space="preserve"> сотрудниками</w:t>
      </w:r>
      <w:r w:rsidR="00D6430F" w:rsidRPr="00593449">
        <w:rPr>
          <w:rFonts w:ascii="Times New Roman" w:hAnsi="Times New Roman" w:cs="Times New Roman"/>
          <w:sz w:val="24"/>
          <w:szCs w:val="24"/>
        </w:rPr>
        <w:t xml:space="preserve"> через электронную форму представлена на графике 4.</w:t>
      </w:r>
    </w:p>
    <w:p w:rsidR="00D6430F" w:rsidRPr="00593449" w:rsidRDefault="00A971CD" w:rsidP="00593449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27090" cy="2501128"/>
            <wp:effectExtent l="19050" t="0" r="2111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73DA" w:rsidRDefault="004173DA" w:rsidP="00593449">
      <w:pPr>
        <w:spacing w:after="0" w:line="259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sz w:val="24"/>
          <w:szCs w:val="24"/>
        </w:rPr>
        <w:t>График 4 – Статистика сдачи макулатуры сотрудниками через электронную форму</w:t>
      </w:r>
    </w:p>
    <w:p w:rsidR="006960D2" w:rsidRPr="00593449" w:rsidRDefault="006960D2" w:rsidP="00593449">
      <w:pPr>
        <w:spacing w:after="0" w:line="259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16219" w:rsidRPr="00593449" w:rsidRDefault="00E16219" w:rsidP="00593449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sz w:val="24"/>
          <w:szCs w:val="24"/>
        </w:rPr>
        <w:t xml:space="preserve">Затем активно пытались внедрить организацию пунктов раздельного сбора отходов на территории университета, а именно установку контейнеров, столкнулись с препятствиями в виде согласования с пожарной </w:t>
      </w:r>
      <w:r w:rsidR="004173DA" w:rsidRPr="00593449">
        <w:rPr>
          <w:rFonts w:ascii="Times New Roman" w:hAnsi="Times New Roman" w:cs="Times New Roman"/>
          <w:sz w:val="24"/>
          <w:szCs w:val="24"/>
        </w:rPr>
        <w:t>безопасностью, так как постоянное хранение горючих</w:t>
      </w:r>
      <w:r w:rsidR="00D6430F" w:rsidRPr="00593449">
        <w:rPr>
          <w:rFonts w:ascii="Times New Roman" w:hAnsi="Times New Roman" w:cs="Times New Roman"/>
          <w:sz w:val="24"/>
          <w:szCs w:val="24"/>
        </w:rPr>
        <w:t xml:space="preserve"> </w:t>
      </w:r>
      <w:r w:rsidRPr="00593449">
        <w:rPr>
          <w:rFonts w:ascii="Times New Roman" w:hAnsi="Times New Roman" w:cs="Times New Roman"/>
          <w:sz w:val="24"/>
          <w:szCs w:val="24"/>
        </w:rPr>
        <w:t>материал</w:t>
      </w:r>
      <w:r w:rsidR="004173DA" w:rsidRPr="00593449">
        <w:rPr>
          <w:rFonts w:ascii="Times New Roman" w:hAnsi="Times New Roman" w:cs="Times New Roman"/>
          <w:sz w:val="24"/>
          <w:szCs w:val="24"/>
        </w:rPr>
        <w:t>ов</w:t>
      </w:r>
      <w:r w:rsidRPr="00593449">
        <w:rPr>
          <w:rFonts w:ascii="Times New Roman" w:hAnsi="Times New Roman" w:cs="Times New Roman"/>
          <w:sz w:val="24"/>
          <w:szCs w:val="24"/>
        </w:rPr>
        <w:t xml:space="preserve"> </w:t>
      </w:r>
      <w:r w:rsidR="00D6430F" w:rsidRPr="00593449">
        <w:rPr>
          <w:rFonts w:ascii="Times New Roman" w:hAnsi="Times New Roman" w:cs="Times New Roman"/>
          <w:sz w:val="24"/>
          <w:szCs w:val="24"/>
        </w:rPr>
        <w:t xml:space="preserve">в помещении </w:t>
      </w:r>
      <w:r w:rsidRPr="00593449">
        <w:rPr>
          <w:rFonts w:ascii="Times New Roman" w:hAnsi="Times New Roman" w:cs="Times New Roman"/>
          <w:sz w:val="24"/>
          <w:szCs w:val="24"/>
        </w:rPr>
        <w:t xml:space="preserve">запрещено, установить контейнеры </w:t>
      </w:r>
      <w:r w:rsidR="004173DA" w:rsidRPr="00593449">
        <w:rPr>
          <w:rFonts w:ascii="Times New Roman" w:hAnsi="Times New Roman" w:cs="Times New Roman"/>
          <w:sz w:val="24"/>
          <w:szCs w:val="24"/>
        </w:rPr>
        <w:t xml:space="preserve">в кампусе </w:t>
      </w:r>
      <w:r w:rsidRPr="00593449">
        <w:rPr>
          <w:rFonts w:ascii="Times New Roman" w:hAnsi="Times New Roman" w:cs="Times New Roman"/>
          <w:sz w:val="24"/>
          <w:szCs w:val="24"/>
        </w:rPr>
        <w:t xml:space="preserve">не удалось. </w:t>
      </w:r>
    </w:p>
    <w:p w:rsidR="00E16219" w:rsidRPr="00593449" w:rsidRDefault="00E16219" w:rsidP="00593449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sz w:val="24"/>
          <w:szCs w:val="24"/>
        </w:rPr>
        <w:t xml:space="preserve">В 2017 году активисты </w:t>
      </w:r>
      <w:r w:rsidR="00D6430F" w:rsidRPr="00593449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="00D6430F" w:rsidRPr="00593449">
        <w:rPr>
          <w:rFonts w:ascii="Times New Roman" w:hAnsi="Times New Roman" w:cs="Times New Roman"/>
          <w:sz w:val="24"/>
          <w:szCs w:val="24"/>
        </w:rPr>
        <w:t xml:space="preserve"> </w:t>
      </w:r>
      <w:r w:rsidR="00D6430F" w:rsidRPr="00593449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593449">
        <w:rPr>
          <w:rFonts w:ascii="Times New Roman" w:hAnsi="Times New Roman" w:cs="Times New Roman"/>
          <w:sz w:val="24"/>
          <w:szCs w:val="24"/>
        </w:rPr>
        <w:t xml:space="preserve"> стали сотрудничать с архивом СФУ. Для того чтобы отправить на переработку документы архива </w:t>
      </w:r>
      <w:r w:rsidR="004173DA" w:rsidRPr="00593449">
        <w:rPr>
          <w:rFonts w:ascii="Times New Roman" w:hAnsi="Times New Roman" w:cs="Times New Roman"/>
          <w:sz w:val="24"/>
          <w:szCs w:val="24"/>
        </w:rPr>
        <w:t>(класс секретности - 3) стало целесообразно использовать уничтожитель бумаги (</w:t>
      </w:r>
      <w:r w:rsidRPr="00593449">
        <w:rPr>
          <w:rFonts w:ascii="Times New Roman" w:hAnsi="Times New Roman" w:cs="Times New Roman"/>
          <w:sz w:val="24"/>
          <w:szCs w:val="24"/>
        </w:rPr>
        <w:t>шредер). Важно отметить, что при использовании шредера можно было переработать и документы бухгалтерии (их класс секретности - 4). Покупка шредера и возможность уничтожения документов ста</w:t>
      </w:r>
      <w:r w:rsidR="004173DA" w:rsidRPr="00593449">
        <w:rPr>
          <w:rFonts w:ascii="Times New Roman" w:hAnsi="Times New Roman" w:cs="Times New Roman"/>
          <w:sz w:val="24"/>
          <w:szCs w:val="24"/>
        </w:rPr>
        <w:t>ла важным шагом в развитии проекта</w:t>
      </w:r>
      <w:r w:rsidRPr="005934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219" w:rsidRPr="00593449" w:rsidRDefault="00E16219" w:rsidP="00593449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sz w:val="24"/>
          <w:szCs w:val="24"/>
        </w:rPr>
        <w:t xml:space="preserve">Для того, чтобы временно складировать измельченную бумагу, объем которой в разы больше цельных листов и оптимизировать процесс ее хранения и транспортировки предполагалось использовать пресс, но </w:t>
      </w:r>
      <w:r w:rsidR="00F46E97" w:rsidRPr="00593449">
        <w:rPr>
          <w:rFonts w:ascii="Times New Roman" w:hAnsi="Times New Roman" w:cs="Times New Roman"/>
          <w:sz w:val="24"/>
          <w:szCs w:val="24"/>
        </w:rPr>
        <w:t>к сожалению,</w:t>
      </w:r>
      <w:r w:rsidRPr="00593449">
        <w:rPr>
          <w:rFonts w:ascii="Times New Roman" w:hAnsi="Times New Roman" w:cs="Times New Roman"/>
          <w:sz w:val="24"/>
          <w:szCs w:val="24"/>
        </w:rPr>
        <w:t xml:space="preserve"> его закупить не удалось. Для подготовки и хранения таких объемов необходимо отдельно стоящее складское помещение. Таким вари</w:t>
      </w:r>
      <w:r w:rsidR="004173DA" w:rsidRPr="00593449">
        <w:rPr>
          <w:rFonts w:ascii="Times New Roman" w:hAnsi="Times New Roman" w:cs="Times New Roman"/>
          <w:sz w:val="24"/>
          <w:szCs w:val="24"/>
        </w:rPr>
        <w:t>антом с</w:t>
      </w:r>
      <w:r w:rsidR="00630D52" w:rsidRPr="00593449">
        <w:rPr>
          <w:rFonts w:ascii="Times New Roman" w:hAnsi="Times New Roman" w:cs="Times New Roman"/>
          <w:sz w:val="24"/>
          <w:szCs w:val="24"/>
        </w:rPr>
        <w:t>тал двухтонный контейнер, расположенный во внутреннем дворике университета.</w:t>
      </w:r>
    </w:p>
    <w:p w:rsidR="00E16219" w:rsidRPr="00593449" w:rsidRDefault="00630D52" w:rsidP="00593449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i/>
          <w:sz w:val="24"/>
          <w:szCs w:val="24"/>
        </w:rPr>
        <w:t>(</w:t>
      </w:r>
      <w:r w:rsidR="00E16219" w:rsidRPr="00593449">
        <w:rPr>
          <w:rFonts w:ascii="Times New Roman" w:hAnsi="Times New Roman" w:cs="Times New Roman"/>
          <w:i/>
          <w:sz w:val="24"/>
          <w:szCs w:val="24"/>
        </w:rPr>
        <w:t>На протяжении этого времени сотрудничали с фирмами по переработке сырья. В городе Красноярс</w:t>
      </w:r>
      <w:r w:rsidRPr="00593449">
        <w:rPr>
          <w:rFonts w:ascii="Times New Roman" w:hAnsi="Times New Roman" w:cs="Times New Roman"/>
          <w:i/>
          <w:sz w:val="24"/>
          <w:szCs w:val="24"/>
        </w:rPr>
        <w:t>ке существуют такие компании</w:t>
      </w:r>
      <w:r w:rsidR="00E16219" w:rsidRPr="005934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65BDB" w:rsidRPr="00593449">
        <w:rPr>
          <w:rFonts w:ascii="Times New Roman" w:hAnsi="Times New Roman" w:cs="Times New Roman"/>
          <w:i/>
          <w:sz w:val="24"/>
          <w:szCs w:val="24"/>
        </w:rPr>
        <w:t>например,</w:t>
      </w:r>
      <w:r w:rsidR="00E16219" w:rsidRPr="00593449">
        <w:rPr>
          <w:rFonts w:ascii="Times New Roman" w:hAnsi="Times New Roman" w:cs="Times New Roman"/>
          <w:i/>
          <w:sz w:val="24"/>
          <w:szCs w:val="24"/>
        </w:rPr>
        <w:t xml:space="preserve"> макулатура24, ИП Краснова, </w:t>
      </w:r>
      <w:proofErr w:type="spellStart"/>
      <w:r w:rsidR="00E16219" w:rsidRPr="00593449">
        <w:rPr>
          <w:rFonts w:ascii="Times New Roman" w:hAnsi="Times New Roman" w:cs="Times New Roman"/>
          <w:i/>
          <w:sz w:val="24"/>
          <w:szCs w:val="24"/>
        </w:rPr>
        <w:t>Вторресурс</w:t>
      </w:r>
      <w:proofErr w:type="spellEnd"/>
      <w:r w:rsidR="00E16219" w:rsidRPr="00593449">
        <w:rPr>
          <w:rFonts w:ascii="Times New Roman" w:hAnsi="Times New Roman" w:cs="Times New Roman"/>
          <w:i/>
          <w:sz w:val="24"/>
          <w:szCs w:val="24"/>
        </w:rPr>
        <w:t xml:space="preserve"> и др. Это позволило вывозить макулатуру с места ее хранения в университете и осуществлять ее переработку.</w:t>
      </w:r>
      <w:r w:rsidR="006960D2">
        <w:rPr>
          <w:rFonts w:ascii="Times New Roman" w:hAnsi="Times New Roman" w:cs="Times New Roman"/>
          <w:i/>
          <w:sz w:val="24"/>
          <w:szCs w:val="24"/>
        </w:rPr>
        <w:t>)</w:t>
      </w:r>
    </w:p>
    <w:p w:rsidR="00E16219" w:rsidRPr="00593449" w:rsidRDefault="00E16219" w:rsidP="00593449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sz w:val="24"/>
          <w:szCs w:val="24"/>
        </w:rPr>
        <w:t xml:space="preserve">В результате, когда показатели </w:t>
      </w:r>
      <w:r w:rsidR="00630D52" w:rsidRPr="00593449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="00630D52" w:rsidRPr="00593449">
        <w:rPr>
          <w:rFonts w:ascii="Times New Roman" w:hAnsi="Times New Roman" w:cs="Times New Roman"/>
          <w:sz w:val="24"/>
          <w:szCs w:val="24"/>
        </w:rPr>
        <w:t xml:space="preserve"> </w:t>
      </w:r>
      <w:r w:rsidR="00630D52" w:rsidRPr="00593449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630D52" w:rsidRPr="00593449">
        <w:rPr>
          <w:rFonts w:ascii="Times New Roman" w:hAnsi="Times New Roman" w:cs="Times New Roman"/>
          <w:sz w:val="24"/>
          <w:szCs w:val="24"/>
        </w:rPr>
        <w:t xml:space="preserve"> </w:t>
      </w:r>
      <w:r w:rsidRPr="00593449">
        <w:rPr>
          <w:rFonts w:ascii="Times New Roman" w:hAnsi="Times New Roman" w:cs="Times New Roman"/>
          <w:sz w:val="24"/>
          <w:szCs w:val="24"/>
        </w:rPr>
        <w:t>приняли другие масштабы, и акция стала значимым проектом в университете</w:t>
      </w:r>
      <w:r w:rsidR="006D2B86" w:rsidRPr="00593449">
        <w:rPr>
          <w:rFonts w:ascii="Times New Roman" w:hAnsi="Times New Roman" w:cs="Times New Roman"/>
          <w:sz w:val="24"/>
          <w:szCs w:val="24"/>
        </w:rPr>
        <w:t>,</w:t>
      </w:r>
      <w:r w:rsidRPr="00593449">
        <w:rPr>
          <w:rFonts w:ascii="Times New Roman" w:hAnsi="Times New Roman" w:cs="Times New Roman"/>
          <w:sz w:val="24"/>
          <w:szCs w:val="24"/>
        </w:rPr>
        <w:t xml:space="preserve"> удалось согласовать установку 13 контейнеров под пластик и макулатуру для временного внутреннего размещения </w:t>
      </w:r>
      <w:r w:rsidR="00630D52" w:rsidRPr="00593449">
        <w:rPr>
          <w:rFonts w:ascii="Times New Roman" w:hAnsi="Times New Roman" w:cs="Times New Roman"/>
          <w:sz w:val="24"/>
          <w:szCs w:val="24"/>
        </w:rPr>
        <w:t xml:space="preserve">их в университете на двух площадках </w:t>
      </w:r>
      <w:r w:rsidR="00AA4B00">
        <w:rPr>
          <w:rFonts w:ascii="Times New Roman" w:hAnsi="Times New Roman" w:cs="Times New Roman"/>
          <w:sz w:val="24"/>
          <w:szCs w:val="24"/>
        </w:rPr>
        <w:t>кампуса</w:t>
      </w:r>
      <w:r w:rsidR="00630D52" w:rsidRPr="005934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D52" w:rsidRDefault="00630D52" w:rsidP="00352A3A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sz w:val="24"/>
          <w:szCs w:val="24"/>
        </w:rPr>
        <w:t xml:space="preserve">Как видно из графика 1, количество сданной макулатуры имеет тенденцию к снижению, это обусловлено тем, что на двух основных площадках </w:t>
      </w:r>
      <w:r w:rsidR="006D2B86" w:rsidRPr="00593449">
        <w:rPr>
          <w:rFonts w:ascii="Times New Roman" w:hAnsi="Times New Roman" w:cs="Times New Roman"/>
          <w:sz w:val="24"/>
          <w:szCs w:val="24"/>
        </w:rPr>
        <w:t xml:space="preserve">кампуса появился раздельный сбор, большую часть вторсырья на данный момент сдается именно в контейнеры. </w:t>
      </w:r>
    </w:p>
    <w:p w:rsidR="00352A3A" w:rsidRDefault="00352A3A" w:rsidP="00352A3A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3A">
        <w:rPr>
          <w:rFonts w:ascii="Times New Roman" w:hAnsi="Times New Roman" w:cs="Times New Roman"/>
          <w:sz w:val="24"/>
          <w:szCs w:val="24"/>
        </w:rPr>
        <w:t>Опыт организации раздельного сбора на 1 площадке показывает, что 8 контейнеров для макулатуры приносят 640 кг в месяц, 7680 кг в год, через электронную форму для сотрудников 3150 кг в</w:t>
      </w:r>
      <w:r>
        <w:rPr>
          <w:rFonts w:ascii="Times New Roman" w:hAnsi="Times New Roman" w:cs="Times New Roman"/>
          <w:sz w:val="24"/>
          <w:szCs w:val="24"/>
        </w:rPr>
        <w:t xml:space="preserve"> год. Из этого можно сделать вывод, </w:t>
      </w:r>
      <w:r w:rsidRPr="00352A3A">
        <w:rPr>
          <w:rFonts w:ascii="Times New Roman" w:hAnsi="Times New Roman" w:cs="Times New Roman"/>
          <w:sz w:val="24"/>
          <w:szCs w:val="24"/>
        </w:rPr>
        <w:t>что экономически эффективно организовывать разд</w:t>
      </w:r>
      <w:r>
        <w:rPr>
          <w:rFonts w:ascii="Times New Roman" w:hAnsi="Times New Roman" w:cs="Times New Roman"/>
          <w:sz w:val="24"/>
          <w:szCs w:val="24"/>
        </w:rPr>
        <w:t>ельный сбор в университете. На одной</w:t>
      </w:r>
      <w:r w:rsidRPr="00352A3A">
        <w:rPr>
          <w:rFonts w:ascii="Times New Roman" w:hAnsi="Times New Roman" w:cs="Times New Roman"/>
          <w:sz w:val="24"/>
          <w:szCs w:val="24"/>
        </w:rPr>
        <w:t xml:space="preserve"> площадке со всех контейнеров </w:t>
      </w:r>
      <w:r w:rsidR="00F46E97">
        <w:rPr>
          <w:rFonts w:ascii="Times New Roman" w:hAnsi="Times New Roman" w:cs="Times New Roman"/>
          <w:sz w:val="24"/>
          <w:szCs w:val="24"/>
        </w:rPr>
        <w:t xml:space="preserve">прибыль от сбора отходов </w:t>
      </w:r>
      <w:r w:rsidRPr="00352A3A">
        <w:rPr>
          <w:rFonts w:ascii="Times New Roman" w:hAnsi="Times New Roman" w:cs="Times New Roman"/>
          <w:sz w:val="24"/>
          <w:szCs w:val="24"/>
        </w:rPr>
        <w:t>составит 45 тысяч рублей в год, соответственно для 5 площадок получим 225 тысяч рублей в год.</w:t>
      </w:r>
      <w:r w:rsidR="00F46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97" w:rsidRDefault="00F46E97" w:rsidP="00F46E97">
      <w:pPr>
        <w:spacing w:after="0" w:line="259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32910" cy="2821939"/>
            <wp:effectExtent l="0" t="0" r="0" b="0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799" cy="282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E97" w:rsidRDefault="00F46E97" w:rsidP="00F46E97">
      <w:pPr>
        <w:spacing w:after="0" w:line="259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– Контейнеры под макулатуру и пластик</w:t>
      </w:r>
    </w:p>
    <w:p w:rsidR="00F46E97" w:rsidRPr="00593449" w:rsidRDefault="00F46E97" w:rsidP="00F46E97">
      <w:pPr>
        <w:spacing w:after="0" w:line="259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0D52" w:rsidRPr="00593449" w:rsidRDefault="00630D52" w:rsidP="00593449">
      <w:pPr>
        <w:spacing w:after="0" w:line="259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6D2B86" w:rsidRPr="00593449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593449">
        <w:rPr>
          <w:rFonts w:ascii="Times New Roman" w:hAnsi="Times New Roman" w:cs="Times New Roman"/>
          <w:sz w:val="24"/>
          <w:szCs w:val="24"/>
        </w:rPr>
        <w:t>проекта сх</w:t>
      </w:r>
      <w:r w:rsidR="006D2B86" w:rsidRPr="00593449">
        <w:rPr>
          <w:rFonts w:ascii="Times New Roman" w:hAnsi="Times New Roman" w:cs="Times New Roman"/>
          <w:sz w:val="24"/>
          <w:szCs w:val="24"/>
        </w:rPr>
        <w:t>ематично представлена на рис.</w:t>
      </w:r>
      <w:r w:rsidR="00F46E97">
        <w:rPr>
          <w:rFonts w:ascii="Times New Roman" w:hAnsi="Times New Roman" w:cs="Times New Roman"/>
          <w:sz w:val="24"/>
          <w:szCs w:val="24"/>
        </w:rPr>
        <w:t xml:space="preserve"> 2</w:t>
      </w:r>
      <w:r w:rsidRPr="00593449">
        <w:rPr>
          <w:rFonts w:ascii="Times New Roman" w:hAnsi="Times New Roman" w:cs="Times New Roman"/>
          <w:sz w:val="24"/>
          <w:szCs w:val="24"/>
        </w:rPr>
        <w:t>.</w:t>
      </w:r>
    </w:p>
    <w:p w:rsidR="00630D52" w:rsidRPr="00593449" w:rsidRDefault="00630D52" w:rsidP="0059344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4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944768"/>
            <wp:effectExtent l="19050" t="0" r="0" b="0"/>
            <wp:docPr id="16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192000" cy="6043499"/>
                      <a:chOff x="0" y="335972"/>
                      <a:chExt cx="12192000" cy="6043499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0" y="335972"/>
                        <a:ext cx="12192000" cy="93864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ctr">
                          <a:normAutofit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4000" kern="12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pPr algn="ctr"/>
                          <a:r>
                            <a:rPr lang="ru-RU" sz="3600" dirty="0" smtClean="0"/>
                            <a:t>История </a:t>
                          </a:r>
                          <a:endParaRPr lang="ru-RU" sz="3600" dirty="0"/>
                        </a:p>
                      </a:txBody>
                      <a:useSpRect/>
                    </a:txSp>
                  </a:sp>
                  <a:sp>
                    <a:nvSpPr>
                      <a:cNvPr id="11" name="Прямоугольник 10"/>
                      <a:cNvSpPr/>
                    </a:nvSpPr>
                    <a:spPr>
                      <a:xfrm>
                        <a:off x="7951487" y="760906"/>
                        <a:ext cx="237565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latin typeface="Calibri Light" pitchFamily="34" charset="0"/>
                            </a:rPr>
                            <a:t>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10793" y="3862007"/>
                        <a:ext cx="6463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2012</a:t>
                          </a:r>
                          <a:endParaRPr lang="ru-RU" b="1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23" name="Прямая со стрелкой 22"/>
                      <a:cNvCxnSpPr/>
                    </a:nvCxnSpPr>
                    <a:spPr>
                      <a:xfrm flipV="1">
                        <a:off x="0" y="4572049"/>
                        <a:ext cx="12192000" cy="13854"/>
                      </a:xfrm>
                      <a:prstGeom prst="straightConnector1">
                        <a:avLst/>
                      </a:prstGeom>
                      <a:ln w="76200">
                        <a:solidFill>
                          <a:srgbClr val="00B05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Прямая соединительная линия 27"/>
                      <a:cNvCxnSpPr/>
                    </a:nvCxnSpPr>
                    <a:spPr>
                      <a:xfrm flipV="1">
                        <a:off x="200438" y="4225684"/>
                        <a:ext cx="13855" cy="734291"/>
                      </a:xfrm>
                      <a:prstGeom prst="line">
                        <a:avLst/>
                      </a:prstGeom>
                      <a:ln w="381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Прямая соединительная линия 28"/>
                      <a:cNvCxnSpPr/>
                    </a:nvCxnSpPr>
                    <a:spPr>
                      <a:xfrm flipV="1">
                        <a:off x="1607966" y="4211831"/>
                        <a:ext cx="13855" cy="734291"/>
                      </a:xfrm>
                      <a:prstGeom prst="line">
                        <a:avLst/>
                      </a:prstGeom>
                      <a:ln w="381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Прямая соединительная линия 29"/>
                      <a:cNvCxnSpPr/>
                    </a:nvCxnSpPr>
                    <a:spPr>
                      <a:xfrm flipV="1">
                        <a:off x="3145821" y="4197975"/>
                        <a:ext cx="13855" cy="734291"/>
                      </a:xfrm>
                      <a:prstGeom prst="line">
                        <a:avLst/>
                      </a:prstGeom>
                      <a:ln w="381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Прямая соединительная линия 30"/>
                      <a:cNvCxnSpPr/>
                    </a:nvCxnSpPr>
                    <a:spPr>
                      <a:xfrm flipV="1">
                        <a:off x="4739094" y="4197976"/>
                        <a:ext cx="13855" cy="734291"/>
                      </a:xfrm>
                      <a:prstGeom prst="line">
                        <a:avLst/>
                      </a:prstGeom>
                      <a:ln w="381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Прямая соединительная линия 31"/>
                      <a:cNvCxnSpPr/>
                    </a:nvCxnSpPr>
                    <a:spPr>
                      <a:xfrm flipV="1">
                        <a:off x="6332366" y="4184120"/>
                        <a:ext cx="13855" cy="734291"/>
                      </a:xfrm>
                      <a:prstGeom prst="line">
                        <a:avLst/>
                      </a:prstGeom>
                      <a:ln w="381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" name="Прямая соединительная линия 32"/>
                      <a:cNvCxnSpPr/>
                    </a:nvCxnSpPr>
                    <a:spPr>
                      <a:xfrm flipV="1">
                        <a:off x="11112184" y="4156412"/>
                        <a:ext cx="13855" cy="734291"/>
                      </a:xfrm>
                      <a:prstGeom prst="line">
                        <a:avLst/>
                      </a:prstGeom>
                      <a:ln w="38100">
                        <a:solidFill>
                          <a:srgbClr val="00B05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Прямая соединительная линия 33"/>
                      <a:cNvCxnSpPr/>
                    </a:nvCxnSpPr>
                    <a:spPr>
                      <a:xfrm flipV="1">
                        <a:off x="7925637" y="4184120"/>
                        <a:ext cx="13855" cy="734291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Прямая соединительная линия 34"/>
                      <a:cNvCxnSpPr/>
                    </a:nvCxnSpPr>
                    <a:spPr>
                      <a:xfrm flipV="1">
                        <a:off x="9518911" y="4184121"/>
                        <a:ext cx="13855" cy="734291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1290595" y="4914920"/>
                        <a:ext cx="6463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2013</a:t>
                          </a:r>
                          <a:endParaRPr lang="ru-RU" b="1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9" name="TextBox 38"/>
                      <a:cNvSpPr txBox="1"/>
                    </a:nvSpPr>
                    <a:spPr>
                      <a:xfrm>
                        <a:off x="2870014" y="3848153"/>
                        <a:ext cx="6463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2014</a:t>
                          </a:r>
                          <a:endParaRPr lang="ru-RU" b="1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0" name="TextBox 39"/>
                      <a:cNvSpPr txBox="1"/>
                    </a:nvSpPr>
                    <a:spPr>
                      <a:xfrm>
                        <a:off x="4421724" y="4914953"/>
                        <a:ext cx="6463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2015</a:t>
                          </a:r>
                          <a:endParaRPr lang="ru-RU" b="1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" name="TextBox 40"/>
                      <a:cNvSpPr txBox="1"/>
                    </a:nvSpPr>
                    <a:spPr>
                      <a:xfrm>
                        <a:off x="6056560" y="3820443"/>
                        <a:ext cx="6463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2016</a:t>
                          </a:r>
                          <a:endParaRPr lang="ru-RU" b="1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2" name="TextBox 41"/>
                      <a:cNvSpPr txBox="1"/>
                    </a:nvSpPr>
                    <a:spPr>
                      <a:xfrm>
                        <a:off x="7635978" y="4928807"/>
                        <a:ext cx="6463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2017</a:t>
                          </a:r>
                          <a:endParaRPr lang="ru-RU" b="1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3" name="TextBox 42"/>
                      <a:cNvSpPr txBox="1"/>
                    </a:nvSpPr>
                    <a:spPr>
                      <a:xfrm>
                        <a:off x="9229251" y="3806589"/>
                        <a:ext cx="6463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2018</a:t>
                          </a:r>
                          <a:endParaRPr lang="ru-RU" b="1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TextBox 44"/>
                      <a:cNvSpPr txBox="1"/>
                    </a:nvSpPr>
                    <a:spPr>
                      <a:xfrm>
                        <a:off x="10794814" y="4914952"/>
                        <a:ext cx="6463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2019</a:t>
                          </a:r>
                          <a:endParaRPr lang="ru-RU" b="1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" name="TextBox 45"/>
                      <a:cNvSpPr txBox="1"/>
                    </a:nvSpPr>
                    <a:spPr>
                      <a:xfrm>
                        <a:off x="184602" y="5621547"/>
                        <a:ext cx="7716386" cy="36933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latin typeface="Calibri Light" pitchFamily="34" charset="0"/>
                            </a:rPr>
                            <a:t>Низкая </a:t>
                          </a:r>
                          <a:r>
                            <a:rPr lang="ru-RU" dirty="0" err="1" smtClean="0">
                              <a:latin typeface="Calibri Light" pitchFamily="34" charset="0"/>
                            </a:rPr>
                            <a:t>эко-культура</a:t>
                          </a:r>
                          <a:r>
                            <a:rPr lang="ru-RU" dirty="0" smtClean="0">
                              <a:latin typeface="Calibri Light" pitchFamily="34" charset="0"/>
                            </a:rPr>
                            <a:t> и вовлеченность в проект</a:t>
                          </a:r>
                          <a:endParaRPr lang="ru-RU" dirty="0"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2" name="TextBox 51"/>
                      <a:cNvSpPr txBox="1"/>
                    </a:nvSpPr>
                    <a:spPr>
                      <a:xfrm>
                        <a:off x="7972481" y="5352861"/>
                        <a:ext cx="3128962" cy="92333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latin typeface="Calibri Light" pitchFamily="34" charset="0"/>
                            </a:rPr>
                            <a:t>Нет мест для хранения</a:t>
                          </a:r>
                        </a:p>
                        <a:p>
                          <a:pPr algn="ctr"/>
                          <a:r>
                            <a:rPr lang="ru-RU" dirty="0" smtClean="0">
                              <a:latin typeface="Calibri Light" pitchFamily="34" charset="0"/>
                            </a:rPr>
                            <a:t>Нет возможности уничтожать документы</a:t>
                          </a:r>
                          <a:endParaRPr lang="ru-RU" dirty="0"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TextBox 53"/>
                      <a:cNvSpPr txBox="1"/>
                    </a:nvSpPr>
                    <a:spPr>
                      <a:xfrm>
                        <a:off x="28576" y="2182529"/>
                        <a:ext cx="1501052" cy="1328023"/>
                      </a:xfrm>
                      <a:prstGeom prst="wedgeRoundRectCallout">
                        <a:avLst>
                          <a:gd name="adj1" fmla="val -17382"/>
                          <a:gd name="adj2" fmla="val 74451"/>
                          <a:gd name="adj3" fmla="val 16667"/>
                        </a:avLst>
                      </a:prstGeom>
                      <a:noFill/>
                      <a:ln>
                        <a:solidFill>
                          <a:schemeClr val="accent1"/>
                        </a:solidFill>
                        <a:prstDash val="lgDash"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Сбор макулатуры</a:t>
                          </a:r>
                        </a:p>
                        <a:p>
                          <a:pPr algn="ctr"/>
                          <a:r>
                            <a:rPr lang="ru-RU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Посадка саженцев</a:t>
                          </a:r>
                          <a:endParaRPr lang="ru-RU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TextBox 55"/>
                      <a:cNvSpPr txBox="1"/>
                    </a:nvSpPr>
                    <a:spPr>
                      <a:xfrm>
                        <a:off x="1210707" y="956834"/>
                        <a:ext cx="2184528" cy="1021556"/>
                      </a:xfrm>
                      <a:prstGeom prst="wedgeRoundRectCallout">
                        <a:avLst>
                          <a:gd name="adj1" fmla="val -29217"/>
                          <a:gd name="adj2" fmla="val 241025"/>
                          <a:gd name="adj3" fmla="val 16667"/>
                        </a:avLst>
                      </a:prstGeom>
                      <a:noFill/>
                      <a:ln>
                        <a:solidFill>
                          <a:schemeClr val="accent1"/>
                        </a:solidFill>
                        <a:prstDash val="lgDash"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Розыгрыш дорогих призов среди студентов</a:t>
                          </a:r>
                          <a:endParaRPr lang="ru-RU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60" name="Прямая соединительная линия 59"/>
                      <a:cNvCxnSpPr/>
                    </a:nvCxnSpPr>
                    <a:spPr>
                      <a:xfrm flipV="1">
                        <a:off x="0" y="4572000"/>
                        <a:ext cx="7958138" cy="13904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3" name="Правая круглая скобка 62"/>
                      <a:cNvSpPr/>
                    </a:nvSpPr>
                    <a:spPr>
                      <a:xfrm rot="5400000">
                        <a:off x="3493753" y="1909566"/>
                        <a:ext cx="1073672" cy="7742527"/>
                      </a:xfrm>
                      <a:prstGeom prst="rightBracke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cxnSp>
                    <a:nvCxnSpPr>
                      <a:cNvPr id="64" name="Прямая соединительная линия 63"/>
                      <a:cNvCxnSpPr/>
                    </a:nvCxnSpPr>
                    <a:spPr>
                      <a:xfrm>
                        <a:off x="7917913" y="4585845"/>
                        <a:ext cx="3214254" cy="58"/>
                      </a:xfrm>
                      <a:prstGeom prst="line">
                        <a:avLst/>
                      </a:prstGeom>
                      <a:ln w="762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6" name="Правая круглая скобка 65"/>
                      <a:cNvSpPr/>
                    </a:nvSpPr>
                    <a:spPr>
                      <a:xfrm rot="5400000">
                        <a:off x="8979544" y="4225661"/>
                        <a:ext cx="1073672" cy="3165757"/>
                      </a:xfrm>
                      <a:prstGeom prst="rightBracket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69" name="TextBox 68"/>
                      <a:cNvSpPr txBox="1"/>
                    </a:nvSpPr>
                    <a:spPr>
                      <a:xfrm>
                        <a:off x="2011664" y="2567426"/>
                        <a:ext cx="1824310" cy="1328023"/>
                      </a:xfrm>
                      <a:prstGeom prst="wedgeRoundRectCallout">
                        <a:avLst>
                          <a:gd name="adj1" fmla="val -29091"/>
                          <a:gd name="adj2" fmla="val 82081"/>
                          <a:gd name="adj3" fmla="val 16667"/>
                        </a:avLst>
                      </a:prstGeom>
                      <a:noFill/>
                      <a:ln>
                        <a:solidFill>
                          <a:schemeClr val="accent1"/>
                        </a:solidFill>
                        <a:prstDash val="lgDash"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Подарки сотрудникам </a:t>
                          </a:r>
                        </a:p>
                        <a:p>
                          <a:pPr algn="ctr"/>
                          <a:r>
                            <a:rPr lang="ru-RU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за сдачу макулатуры</a:t>
                          </a:r>
                          <a:endParaRPr lang="ru-RU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0" name="TextBox 69"/>
                      <a:cNvSpPr txBox="1"/>
                    </a:nvSpPr>
                    <a:spPr>
                      <a:xfrm>
                        <a:off x="3537390" y="1343464"/>
                        <a:ext cx="2433909" cy="1021556"/>
                      </a:xfrm>
                      <a:prstGeom prst="wedgeRoundRectCallout">
                        <a:avLst>
                          <a:gd name="adj1" fmla="val -1005"/>
                          <a:gd name="adj2" fmla="val 206970"/>
                          <a:gd name="adj3" fmla="val 16667"/>
                        </a:avLst>
                      </a:prstGeom>
                      <a:noFill/>
                      <a:ln>
                        <a:solidFill>
                          <a:schemeClr val="accent1"/>
                        </a:solidFill>
                        <a:prstDash val="lgDash"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Взаимодействие </a:t>
                          </a:r>
                        </a:p>
                        <a:p>
                          <a:pPr algn="ctr"/>
                          <a:r>
                            <a:rPr lang="ru-RU" dirty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со школами – в среднем 15 школ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1" name="TextBox 70"/>
                      <a:cNvSpPr txBox="1"/>
                    </a:nvSpPr>
                    <a:spPr>
                      <a:xfrm>
                        <a:off x="4729164" y="2425841"/>
                        <a:ext cx="3043236" cy="1021556"/>
                      </a:xfrm>
                      <a:prstGeom prst="wedgeRoundRectCallout">
                        <a:avLst>
                          <a:gd name="adj1" fmla="val 23178"/>
                          <a:gd name="adj2" fmla="val 67299"/>
                          <a:gd name="adj3" fmla="val 16667"/>
                        </a:avLst>
                      </a:prstGeom>
                      <a:noFill/>
                      <a:ln>
                        <a:solidFill>
                          <a:schemeClr val="accent1"/>
                        </a:solidFill>
                        <a:prstDash val="lgDash"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Формирование электронной формы на сайте для сотрудников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2" name="TextBox 71"/>
                      <a:cNvSpPr txBox="1"/>
                    </a:nvSpPr>
                    <a:spPr>
                      <a:xfrm>
                        <a:off x="7383770" y="1259464"/>
                        <a:ext cx="2433909" cy="1021556"/>
                      </a:xfrm>
                      <a:prstGeom prst="wedgeRoundRectCallout">
                        <a:avLst>
                          <a:gd name="adj1" fmla="val -22867"/>
                          <a:gd name="adj2" fmla="val 234476"/>
                          <a:gd name="adj3" fmla="val 16667"/>
                        </a:avLst>
                      </a:prstGeom>
                      <a:noFill/>
                      <a:ln>
                        <a:solidFill>
                          <a:schemeClr val="accent6"/>
                        </a:solidFill>
                        <a:prstDash val="lgDash"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err="1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У</a:t>
                          </a:r>
                          <a:r>
                            <a:rPr lang="ru-RU" dirty="0" err="1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тановка</a:t>
                          </a:r>
                          <a:r>
                            <a:rPr lang="ru-RU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 контейнера для хранения макулатуры (2 тонны)</a:t>
                          </a:r>
                          <a:endParaRPr lang="ru-RU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3" name="TextBox 72"/>
                      <a:cNvSpPr txBox="1"/>
                    </a:nvSpPr>
                    <a:spPr>
                      <a:xfrm>
                        <a:off x="8444942" y="2449229"/>
                        <a:ext cx="1339399" cy="715089"/>
                      </a:xfrm>
                      <a:prstGeom prst="wedgeRoundRectCallout">
                        <a:avLst>
                          <a:gd name="adj1" fmla="val 44858"/>
                          <a:gd name="adj2" fmla="val 139953"/>
                          <a:gd name="adj3" fmla="val 16667"/>
                        </a:avLst>
                      </a:prstGeom>
                      <a:noFill/>
                      <a:ln>
                        <a:solidFill>
                          <a:schemeClr val="accent6"/>
                        </a:solidFill>
                        <a:prstDash val="lgDash"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Покупка  шредера</a:t>
                          </a:r>
                          <a:endParaRPr lang="ru-RU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4" name="TextBox 73"/>
                      <a:cNvSpPr txBox="1"/>
                    </a:nvSpPr>
                    <a:spPr>
                      <a:xfrm>
                        <a:off x="10883004" y="737761"/>
                        <a:ext cx="1093995" cy="715089"/>
                      </a:xfrm>
                      <a:prstGeom prst="wedgeRoundRectCallout">
                        <a:avLst>
                          <a:gd name="adj1" fmla="val 48404"/>
                          <a:gd name="adj2" fmla="val 136259"/>
                          <a:gd name="adj3" fmla="val 16667"/>
                        </a:avLst>
                      </a:prstGeom>
                      <a:noFill/>
                      <a:ln>
                        <a:solidFill>
                          <a:srgbClr val="00B050"/>
                        </a:solidFill>
                        <a:prstDash val="lgDash"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Установка урн</a:t>
                          </a:r>
                          <a:endParaRPr lang="ru-RU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7" name="Правая круглая скобка 76"/>
                      <a:cNvSpPr/>
                    </a:nvSpPr>
                    <a:spPr>
                      <a:xfrm rot="5400000">
                        <a:off x="11110750" y="5277982"/>
                        <a:ext cx="1073672" cy="1033409"/>
                      </a:xfrm>
                      <a:prstGeom prst="rightBracket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78" name="TextBox 77"/>
                      <a:cNvSpPr txBox="1"/>
                    </a:nvSpPr>
                    <a:spPr>
                      <a:xfrm>
                        <a:off x="11202265" y="4902143"/>
                        <a:ext cx="962025" cy="14773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latin typeface="Calibri Light" pitchFamily="34" charset="0"/>
                            </a:rPr>
                            <a:t>Мало </a:t>
                          </a:r>
                          <a:r>
                            <a:rPr lang="ru-RU" dirty="0" err="1" smtClean="0">
                              <a:latin typeface="Calibri Light" pitchFamily="34" charset="0"/>
                            </a:rPr>
                            <a:t>инфор-мации</a:t>
                          </a:r>
                          <a:endParaRPr lang="ru-RU" dirty="0" smtClean="0">
                            <a:latin typeface="Calibri Light" pitchFamily="34" charset="0"/>
                          </a:endParaRPr>
                        </a:p>
                        <a:p>
                          <a:pPr algn="ctr"/>
                          <a:r>
                            <a:rPr lang="ru-RU" dirty="0" smtClean="0">
                              <a:latin typeface="Calibri Light" pitchFamily="34" charset="0"/>
                            </a:rPr>
                            <a:t>Нет среды</a:t>
                          </a:r>
                          <a:endParaRPr lang="ru-RU" dirty="0"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10102995" y="1617956"/>
                        <a:ext cx="1566862" cy="1021556"/>
                      </a:xfrm>
                      <a:prstGeom prst="wedgeRoundRectCallout">
                        <a:avLst>
                          <a:gd name="adj1" fmla="val 25307"/>
                          <a:gd name="adj2" fmla="val 83512"/>
                          <a:gd name="adj3" fmla="val 16667"/>
                        </a:avLst>
                      </a:prstGeom>
                      <a:noFill/>
                      <a:ln>
                        <a:solidFill>
                          <a:srgbClr val="00B050"/>
                        </a:solidFill>
                        <a:prstDash val="lgDash"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Усиление </a:t>
                          </a:r>
                          <a:r>
                            <a:rPr lang="ru-RU" dirty="0" err="1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информ</a:t>
                          </a:r>
                          <a:r>
                            <a:rPr lang="ru-RU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. кампании</a:t>
                          </a:r>
                          <a:endParaRPr lang="ru-RU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4" name="TextBox 43"/>
                      <a:cNvSpPr txBox="1"/>
                    </a:nvSpPr>
                    <a:spPr>
                      <a:xfrm>
                        <a:off x="10132869" y="3004710"/>
                        <a:ext cx="1668606" cy="1021556"/>
                      </a:xfrm>
                      <a:prstGeom prst="wedgeRoundRectCallout">
                        <a:avLst>
                          <a:gd name="adj1" fmla="val 37183"/>
                          <a:gd name="adj2" fmla="val 75035"/>
                          <a:gd name="adj3" fmla="val 16667"/>
                        </a:avLst>
                      </a:prstGeom>
                      <a:noFill/>
                      <a:ln>
                        <a:solidFill>
                          <a:srgbClr val="00B050"/>
                        </a:solidFill>
                        <a:prstDash val="lgDash"/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atin typeface="Calibri Light" pitchFamily="34" charset="0"/>
                            </a:rPr>
                            <a:t>Больше студенческих мероприятий</a:t>
                          </a:r>
                          <a:endParaRPr lang="ru-RU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  <a:latin typeface="Calibri Light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47" name="Рисунок 46"/>
                      <a:cNvPicPr>
                        <a:picLocks noChangeAspect="1"/>
                      </a:cNvPicPr>
                    </a:nvPicPr>
                    <a:blipFill>
                      <a:blip r:embed="rId11" cstate="print"/>
                      <a:stretch>
                        <a:fillRect/>
                      </a:stretch>
                    </a:blipFill>
                    <a:spPr>
                      <a:xfrm>
                        <a:off x="0" y="458545"/>
                        <a:ext cx="1136265" cy="1136265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p w:rsidR="006D2B86" w:rsidRPr="00593449" w:rsidRDefault="00F46E97" w:rsidP="00593449">
      <w:pPr>
        <w:spacing w:after="0" w:line="259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  <w:r w:rsidR="006D2B86" w:rsidRPr="00593449">
        <w:rPr>
          <w:rFonts w:ascii="Times New Roman" w:hAnsi="Times New Roman" w:cs="Times New Roman"/>
          <w:sz w:val="24"/>
          <w:szCs w:val="24"/>
        </w:rPr>
        <w:t xml:space="preserve"> – История развития проекта</w:t>
      </w:r>
    </w:p>
    <w:p w:rsidR="00593449" w:rsidRDefault="00593449" w:rsidP="00593449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A7FDD" w:rsidRPr="00AA4B00" w:rsidRDefault="00352A3A" w:rsidP="00593449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8A7FDD" w:rsidRPr="00AA4B00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="008A7FDD" w:rsidRPr="00AA4B00">
        <w:rPr>
          <w:rFonts w:ascii="Times New Roman" w:hAnsi="Times New Roman" w:cs="Times New Roman"/>
          <w:sz w:val="24"/>
          <w:szCs w:val="24"/>
        </w:rPr>
        <w:t xml:space="preserve"> </w:t>
      </w:r>
      <w:r w:rsidR="008A7FDD" w:rsidRPr="00AA4B00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8A7FDD" w:rsidRPr="00AA4B00">
        <w:rPr>
          <w:rFonts w:ascii="Times New Roman" w:hAnsi="Times New Roman" w:cs="Times New Roman"/>
          <w:sz w:val="24"/>
          <w:szCs w:val="24"/>
        </w:rPr>
        <w:t xml:space="preserve"> находится на стадии дальнейшего развития повсеместного раздельного сбора отходов в университете. На двух площадках кампуса сбор макулатуры и пластика уже реализован</w:t>
      </w:r>
      <w:r w:rsidR="006D2B86" w:rsidRPr="00AA4B00">
        <w:rPr>
          <w:rFonts w:ascii="Times New Roman" w:hAnsi="Times New Roman" w:cs="Times New Roman"/>
          <w:sz w:val="24"/>
          <w:szCs w:val="24"/>
        </w:rPr>
        <w:t>, в дальнейшем планирует</w:t>
      </w:r>
      <w:r w:rsidR="00593449" w:rsidRPr="00AA4B00">
        <w:rPr>
          <w:rFonts w:ascii="Times New Roman" w:hAnsi="Times New Roman" w:cs="Times New Roman"/>
          <w:sz w:val="24"/>
          <w:szCs w:val="24"/>
        </w:rPr>
        <w:t xml:space="preserve">ся организовать раздельный сбор </w:t>
      </w:r>
      <w:r w:rsidR="00AA4B00">
        <w:rPr>
          <w:rFonts w:ascii="Times New Roman" w:hAnsi="Times New Roman" w:cs="Times New Roman"/>
          <w:sz w:val="24"/>
          <w:szCs w:val="24"/>
        </w:rPr>
        <w:t>на всех площадках университета</w:t>
      </w:r>
      <w:r w:rsidR="008A7FDD" w:rsidRPr="00AA4B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FDD" w:rsidRPr="00AA4B00" w:rsidRDefault="008A7FDD" w:rsidP="00593449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B00">
        <w:rPr>
          <w:rFonts w:ascii="Times New Roman" w:hAnsi="Times New Roman" w:cs="Times New Roman"/>
          <w:sz w:val="24"/>
          <w:szCs w:val="24"/>
        </w:rPr>
        <w:t>Важную роль в формировании экокультуры</w:t>
      </w:r>
      <w:bookmarkStart w:id="0" w:name="_GoBack"/>
      <w:bookmarkEnd w:id="0"/>
      <w:r w:rsidRPr="00AA4B00">
        <w:rPr>
          <w:rFonts w:ascii="Times New Roman" w:hAnsi="Times New Roman" w:cs="Times New Roman"/>
          <w:sz w:val="24"/>
          <w:szCs w:val="24"/>
        </w:rPr>
        <w:t xml:space="preserve"> играет просветительская и воспитательная деятельность. На данный момент по этому направлению ведется отдельная работа, а именно: </w:t>
      </w:r>
    </w:p>
    <w:p w:rsidR="008A7FDD" w:rsidRPr="00AA4B00" w:rsidRDefault="008A7FDD" w:rsidP="00593449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00">
        <w:rPr>
          <w:rFonts w:ascii="Times New Roman" w:hAnsi="Times New Roman" w:cs="Times New Roman"/>
          <w:sz w:val="24"/>
          <w:szCs w:val="24"/>
        </w:rPr>
        <w:t>Проведение ежегодной акции «</w:t>
      </w:r>
      <w:r w:rsidRPr="00AA4B00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AA4B00">
        <w:rPr>
          <w:rFonts w:ascii="Times New Roman" w:hAnsi="Times New Roman" w:cs="Times New Roman"/>
          <w:sz w:val="24"/>
          <w:szCs w:val="24"/>
        </w:rPr>
        <w:t xml:space="preserve"> </w:t>
      </w:r>
      <w:r w:rsidRPr="00AA4B00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AA4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B00">
        <w:rPr>
          <w:rFonts w:ascii="Times New Roman" w:hAnsi="Times New Roman" w:cs="Times New Roman"/>
          <w:sz w:val="24"/>
          <w:szCs w:val="24"/>
          <w:lang w:val="en-US"/>
        </w:rPr>
        <w:t>SibFU</w:t>
      </w:r>
      <w:proofErr w:type="spellEnd"/>
      <w:r w:rsidRPr="00AA4B00">
        <w:rPr>
          <w:rFonts w:ascii="Times New Roman" w:hAnsi="Times New Roman" w:cs="Times New Roman"/>
          <w:sz w:val="24"/>
          <w:szCs w:val="24"/>
        </w:rPr>
        <w:t>» на площадках университета по сбору макулатуры, пластика и батареек;</w:t>
      </w:r>
    </w:p>
    <w:p w:rsidR="008A7FDD" w:rsidRPr="00AA4B00" w:rsidRDefault="008A7FDD" w:rsidP="00593449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00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AA4B00">
        <w:rPr>
          <w:rFonts w:ascii="Times New Roman" w:hAnsi="Times New Roman" w:cs="Times New Roman"/>
          <w:sz w:val="24"/>
          <w:szCs w:val="24"/>
        </w:rPr>
        <w:t xml:space="preserve"> </w:t>
      </w:r>
      <w:r w:rsidRPr="00AA4B00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AA4B00">
        <w:rPr>
          <w:rFonts w:ascii="Times New Roman" w:hAnsi="Times New Roman" w:cs="Times New Roman"/>
          <w:sz w:val="24"/>
          <w:szCs w:val="24"/>
        </w:rPr>
        <w:t xml:space="preserve"> </w:t>
      </w:r>
      <w:r w:rsidRPr="00AA4B00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AA4B00">
        <w:rPr>
          <w:rFonts w:ascii="Times New Roman" w:hAnsi="Times New Roman" w:cs="Times New Roman"/>
          <w:sz w:val="24"/>
          <w:szCs w:val="24"/>
        </w:rPr>
        <w:t xml:space="preserve"> в школах города Красноярска, в рамках </w:t>
      </w:r>
      <w:r w:rsidR="00352A3A">
        <w:rPr>
          <w:rFonts w:ascii="Times New Roman" w:hAnsi="Times New Roman" w:cs="Times New Roman"/>
          <w:sz w:val="24"/>
          <w:szCs w:val="24"/>
        </w:rPr>
        <w:t xml:space="preserve">этого проекта </w:t>
      </w:r>
      <w:r w:rsidRPr="00AA4B00">
        <w:rPr>
          <w:rFonts w:ascii="Times New Roman" w:hAnsi="Times New Roman" w:cs="Times New Roman"/>
          <w:sz w:val="24"/>
          <w:szCs w:val="24"/>
        </w:rPr>
        <w:t>проводятся различные мероприятия (лекции по сортировке отходов, бережному потреблению, мастер-классы/ онлайн – викторины);</w:t>
      </w:r>
    </w:p>
    <w:p w:rsidR="008A7FDD" w:rsidRPr="00AA4B00" w:rsidRDefault="008A7FDD" w:rsidP="00593449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00">
        <w:rPr>
          <w:rFonts w:ascii="Times New Roman" w:hAnsi="Times New Roman" w:cs="Times New Roman"/>
          <w:sz w:val="24"/>
          <w:szCs w:val="24"/>
        </w:rPr>
        <w:t xml:space="preserve">Организация экологических </w:t>
      </w:r>
      <w:proofErr w:type="spellStart"/>
      <w:r w:rsidRPr="00AA4B00">
        <w:rPr>
          <w:rFonts w:ascii="Times New Roman" w:hAnsi="Times New Roman" w:cs="Times New Roman"/>
          <w:sz w:val="24"/>
          <w:szCs w:val="24"/>
        </w:rPr>
        <w:t>квизов</w:t>
      </w:r>
      <w:proofErr w:type="spellEnd"/>
      <w:r w:rsidRPr="00AA4B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B00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AA4B00">
        <w:rPr>
          <w:rFonts w:ascii="Times New Roman" w:hAnsi="Times New Roman" w:cs="Times New Roman"/>
          <w:sz w:val="24"/>
          <w:szCs w:val="24"/>
        </w:rPr>
        <w:t xml:space="preserve"> для студентов и школьников; </w:t>
      </w:r>
    </w:p>
    <w:p w:rsidR="008A7FDD" w:rsidRPr="00AA4B00" w:rsidRDefault="008A7FDD" w:rsidP="00593449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00">
        <w:rPr>
          <w:rFonts w:ascii="Times New Roman" w:hAnsi="Times New Roman" w:cs="Times New Roman"/>
          <w:sz w:val="24"/>
          <w:szCs w:val="24"/>
        </w:rPr>
        <w:t>Проведение мастер-классов; лекций и дискуссионных площадок на тему экологии;</w:t>
      </w:r>
    </w:p>
    <w:p w:rsidR="008A7FDD" w:rsidRPr="00AA4B00" w:rsidRDefault="008A7FDD" w:rsidP="00593449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00">
        <w:rPr>
          <w:rFonts w:ascii="Times New Roman" w:hAnsi="Times New Roman" w:cs="Times New Roman"/>
          <w:sz w:val="24"/>
          <w:szCs w:val="24"/>
        </w:rPr>
        <w:t>Проведение экологического онлайн – марафона «Эко</w:t>
      </w:r>
      <w:r w:rsidRPr="00AA4B00">
        <w:rPr>
          <w:rFonts w:ascii="Times New Roman" w:hAnsi="Times New Roman" w:cs="Times New Roman"/>
          <w:sz w:val="24"/>
          <w:szCs w:val="24"/>
          <w:lang w:val="en-US"/>
        </w:rPr>
        <w:t>challenge</w:t>
      </w:r>
      <w:r w:rsidRPr="00AA4B00">
        <w:rPr>
          <w:rFonts w:ascii="Times New Roman" w:hAnsi="Times New Roman" w:cs="Times New Roman"/>
          <w:sz w:val="24"/>
          <w:szCs w:val="24"/>
        </w:rPr>
        <w:t xml:space="preserve">», по формированию </w:t>
      </w:r>
      <w:proofErr w:type="spellStart"/>
      <w:r w:rsidRPr="00AA4B00">
        <w:rPr>
          <w:rFonts w:ascii="Times New Roman" w:hAnsi="Times New Roman" w:cs="Times New Roman"/>
          <w:sz w:val="24"/>
          <w:szCs w:val="24"/>
        </w:rPr>
        <w:t>экопривычек</w:t>
      </w:r>
      <w:proofErr w:type="spellEnd"/>
      <w:r w:rsidRPr="00AA4B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FDD" w:rsidRPr="00AA4B00" w:rsidRDefault="008A7FDD" w:rsidP="00593449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00">
        <w:rPr>
          <w:rFonts w:ascii="Times New Roman" w:hAnsi="Times New Roman" w:cs="Times New Roman"/>
          <w:sz w:val="24"/>
          <w:szCs w:val="24"/>
        </w:rPr>
        <w:t>Осуществление круглогодичного сбора макулатуры у сотрудников университета (через электронную форму заявки).</w:t>
      </w:r>
    </w:p>
    <w:p w:rsidR="008A7FDD" w:rsidRPr="00AA4B00" w:rsidRDefault="008A7FDD" w:rsidP="00593449">
      <w:pPr>
        <w:pStyle w:val="a3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00">
        <w:rPr>
          <w:rFonts w:ascii="Times New Roman" w:hAnsi="Times New Roman" w:cs="Times New Roman"/>
          <w:sz w:val="24"/>
          <w:szCs w:val="24"/>
        </w:rPr>
        <w:t xml:space="preserve">Осуществление круглогодичного сбора посредством контейнеров </w:t>
      </w:r>
      <w:proofErr w:type="gramStart"/>
      <w:r w:rsidRPr="00AA4B00">
        <w:rPr>
          <w:rFonts w:ascii="Times New Roman" w:hAnsi="Times New Roman" w:cs="Times New Roman"/>
          <w:sz w:val="24"/>
          <w:szCs w:val="24"/>
        </w:rPr>
        <w:t>РСО(</w:t>
      </w:r>
      <w:proofErr w:type="gramEnd"/>
      <w:r w:rsidRPr="00AA4B00">
        <w:rPr>
          <w:rFonts w:ascii="Times New Roman" w:hAnsi="Times New Roman" w:cs="Times New Roman"/>
          <w:sz w:val="24"/>
          <w:szCs w:val="24"/>
        </w:rPr>
        <w:t>системная основа)</w:t>
      </w:r>
    </w:p>
    <w:p w:rsidR="008A7FDD" w:rsidRDefault="008A7FDD" w:rsidP="00593449">
      <w:pPr>
        <w:pStyle w:val="a3"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6E97" w:rsidRPr="00F46E97" w:rsidRDefault="00F46E97" w:rsidP="00F46E97">
      <w:pPr>
        <w:pStyle w:val="a3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«Игроки» раздельного </w:t>
      </w:r>
      <w:r w:rsidRPr="00F46E97">
        <w:rPr>
          <w:rFonts w:ascii="Times New Roman" w:hAnsi="Times New Roman" w:cs="Times New Roman"/>
          <w:sz w:val="24"/>
          <w:szCs w:val="24"/>
        </w:rPr>
        <w:t>сбора в СФУ – сейчас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391"/>
        <w:gridCol w:w="4460"/>
      </w:tblGrid>
      <w:tr w:rsidR="00F46E97" w:rsidRPr="00F46E97" w:rsidTr="00F46E97">
        <w:tc>
          <w:tcPr>
            <w:tcW w:w="4391" w:type="dxa"/>
          </w:tcPr>
          <w:p w:rsidR="00F46E97" w:rsidRPr="00F46E97" w:rsidRDefault="00F46E97" w:rsidP="00F46E97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9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молодежной политики</w:t>
            </w:r>
          </w:p>
        </w:tc>
        <w:tc>
          <w:tcPr>
            <w:tcW w:w="4460" w:type="dxa"/>
          </w:tcPr>
          <w:p w:rsidR="00F46E97" w:rsidRPr="00F46E97" w:rsidRDefault="00F46E97" w:rsidP="00F46E97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9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эксплуатационно-хозяйственного обеспечения</w:t>
            </w:r>
          </w:p>
        </w:tc>
      </w:tr>
      <w:tr w:rsidR="00F46E97" w:rsidTr="00C11121">
        <w:tc>
          <w:tcPr>
            <w:tcW w:w="8851" w:type="dxa"/>
            <w:gridSpan w:val="2"/>
          </w:tcPr>
          <w:p w:rsidR="00F46E97" w:rsidRPr="00F46E97" w:rsidRDefault="00F46E97" w:rsidP="00F46E97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97">
              <w:rPr>
                <w:rFonts w:ascii="Times New Roman" w:hAnsi="Times New Roman" w:cs="Times New Roman"/>
                <w:sz w:val="24"/>
                <w:szCs w:val="24"/>
              </w:rPr>
              <w:t>Воспитание эко-культуры</w:t>
            </w:r>
          </w:p>
        </w:tc>
      </w:tr>
      <w:tr w:rsidR="00F46E97" w:rsidTr="00332041">
        <w:tc>
          <w:tcPr>
            <w:tcW w:w="8851" w:type="dxa"/>
            <w:gridSpan w:val="2"/>
          </w:tcPr>
          <w:p w:rsidR="00F46E97" w:rsidRPr="00F46E97" w:rsidRDefault="00F46E97" w:rsidP="00F46E97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97">
              <w:rPr>
                <w:rFonts w:ascii="Times New Roman" w:hAnsi="Times New Roman" w:cs="Times New Roman"/>
                <w:sz w:val="24"/>
                <w:szCs w:val="24"/>
              </w:rPr>
              <w:t>Организация вывоза контейнеров</w:t>
            </w:r>
          </w:p>
        </w:tc>
      </w:tr>
      <w:tr w:rsidR="00F46E97" w:rsidTr="0038051F">
        <w:tc>
          <w:tcPr>
            <w:tcW w:w="8851" w:type="dxa"/>
            <w:gridSpan w:val="2"/>
          </w:tcPr>
          <w:p w:rsidR="00F46E97" w:rsidRPr="00F46E97" w:rsidRDefault="00F46E97" w:rsidP="00F46E97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97">
              <w:rPr>
                <w:rFonts w:ascii="Times New Roman" w:hAnsi="Times New Roman" w:cs="Times New Roman"/>
                <w:sz w:val="24"/>
                <w:szCs w:val="24"/>
              </w:rPr>
              <w:t>Контроль наполняемости контейнеров</w:t>
            </w:r>
          </w:p>
        </w:tc>
      </w:tr>
      <w:tr w:rsidR="00F46E97" w:rsidTr="009418CA">
        <w:tc>
          <w:tcPr>
            <w:tcW w:w="8851" w:type="dxa"/>
            <w:gridSpan w:val="2"/>
          </w:tcPr>
          <w:p w:rsidR="00F46E97" w:rsidRPr="00F46E97" w:rsidRDefault="00F46E97" w:rsidP="00F46E97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97">
              <w:rPr>
                <w:rFonts w:ascii="Times New Roman" w:hAnsi="Times New Roman" w:cs="Times New Roman"/>
                <w:sz w:val="24"/>
                <w:szCs w:val="24"/>
              </w:rPr>
              <w:t>Нормативно- правовая часть (договорные обязательства)</w:t>
            </w:r>
          </w:p>
        </w:tc>
      </w:tr>
      <w:tr w:rsidR="00F46E97" w:rsidTr="00F46E97">
        <w:trPr>
          <w:gridAfter w:val="1"/>
          <w:wAfter w:w="4460" w:type="dxa"/>
        </w:trPr>
        <w:tc>
          <w:tcPr>
            <w:tcW w:w="4391" w:type="dxa"/>
          </w:tcPr>
          <w:p w:rsidR="00F46E97" w:rsidRPr="00F46E97" w:rsidRDefault="00F46E97" w:rsidP="00F46E97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9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</w:t>
            </w:r>
          </w:p>
        </w:tc>
      </w:tr>
      <w:tr w:rsidR="00F46E97" w:rsidTr="00F46E97">
        <w:trPr>
          <w:gridAfter w:val="1"/>
          <w:wAfter w:w="4460" w:type="dxa"/>
        </w:trPr>
        <w:tc>
          <w:tcPr>
            <w:tcW w:w="4391" w:type="dxa"/>
          </w:tcPr>
          <w:p w:rsidR="00F46E97" w:rsidRPr="00F46E97" w:rsidRDefault="00F46E97" w:rsidP="00F46E97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97">
              <w:rPr>
                <w:rFonts w:ascii="Times New Roman" w:hAnsi="Times New Roman" w:cs="Times New Roman"/>
                <w:sz w:val="24"/>
                <w:szCs w:val="24"/>
              </w:rPr>
              <w:t>Написание проектов на эко-тематику/поддержка проектов</w:t>
            </w:r>
          </w:p>
        </w:tc>
      </w:tr>
      <w:tr w:rsidR="00F46E97" w:rsidTr="00F46E97">
        <w:trPr>
          <w:gridAfter w:val="1"/>
          <w:wAfter w:w="4460" w:type="dxa"/>
        </w:trPr>
        <w:tc>
          <w:tcPr>
            <w:tcW w:w="4391" w:type="dxa"/>
          </w:tcPr>
          <w:p w:rsidR="00F46E97" w:rsidRPr="00F46E97" w:rsidRDefault="00F46E97" w:rsidP="00F46E97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9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акций</w:t>
            </w:r>
          </w:p>
        </w:tc>
      </w:tr>
    </w:tbl>
    <w:p w:rsidR="00F46E97" w:rsidRDefault="00F46E97" w:rsidP="00F46E97">
      <w:pPr>
        <w:pStyle w:val="a3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60D2" w:rsidRPr="006960D2" w:rsidRDefault="006960D2" w:rsidP="00F46E97">
      <w:pPr>
        <w:pStyle w:val="a3"/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0D2">
        <w:rPr>
          <w:rFonts w:ascii="Times New Roman" w:hAnsi="Times New Roman" w:cs="Times New Roman"/>
          <w:b/>
          <w:sz w:val="24"/>
          <w:szCs w:val="24"/>
        </w:rPr>
        <w:t>Наши планы по развитию экологического кампуса.</w:t>
      </w:r>
    </w:p>
    <w:p w:rsidR="006960D2" w:rsidRPr="006960D2" w:rsidRDefault="006960D2" w:rsidP="00F46E97">
      <w:pPr>
        <w:pStyle w:val="a3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E97" w:rsidRPr="00F46E97" w:rsidRDefault="00F46E97" w:rsidP="00F46E97">
      <w:pPr>
        <w:pStyle w:val="a3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«Игроки» раздельного </w:t>
      </w:r>
      <w:r w:rsidRPr="00F46E97">
        <w:rPr>
          <w:rFonts w:ascii="Times New Roman" w:hAnsi="Times New Roman" w:cs="Times New Roman"/>
          <w:sz w:val="24"/>
          <w:szCs w:val="24"/>
        </w:rPr>
        <w:t>сбора в СФУ –</w:t>
      </w:r>
      <w:r>
        <w:rPr>
          <w:rFonts w:ascii="Times New Roman" w:hAnsi="Times New Roman" w:cs="Times New Roman"/>
          <w:sz w:val="24"/>
          <w:szCs w:val="24"/>
        </w:rPr>
        <w:t xml:space="preserve"> через 1 год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219"/>
        <w:gridCol w:w="2219"/>
        <w:gridCol w:w="4413"/>
      </w:tblGrid>
      <w:tr w:rsidR="00AA1844" w:rsidTr="00AA1844">
        <w:tc>
          <w:tcPr>
            <w:tcW w:w="4438" w:type="dxa"/>
            <w:gridSpan w:val="2"/>
          </w:tcPr>
          <w:p w:rsidR="00AA1844" w:rsidRPr="00F46E97" w:rsidRDefault="00AA1844" w:rsidP="00AA1844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9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молодежной политики</w:t>
            </w:r>
          </w:p>
        </w:tc>
        <w:tc>
          <w:tcPr>
            <w:tcW w:w="4413" w:type="dxa"/>
          </w:tcPr>
          <w:p w:rsidR="00AA1844" w:rsidRPr="00F46E97" w:rsidRDefault="00AA1844" w:rsidP="00AA1844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9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эксплуатационно-хозяйственного обеспечения</w:t>
            </w:r>
          </w:p>
        </w:tc>
      </w:tr>
      <w:tr w:rsidR="00AA1844" w:rsidTr="00AA1844">
        <w:tc>
          <w:tcPr>
            <w:tcW w:w="8851" w:type="dxa"/>
            <w:gridSpan w:val="3"/>
          </w:tcPr>
          <w:p w:rsidR="00AA1844" w:rsidRDefault="00AA1844" w:rsidP="00AA1844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6E97">
              <w:rPr>
                <w:rFonts w:ascii="Times New Roman" w:hAnsi="Times New Roman" w:cs="Times New Roman"/>
                <w:sz w:val="24"/>
                <w:szCs w:val="24"/>
              </w:rPr>
              <w:t>Воспитание эко-культуры</w:t>
            </w:r>
          </w:p>
        </w:tc>
      </w:tr>
      <w:tr w:rsidR="00AA1844" w:rsidTr="00AA1844">
        <w:tc>
          <w:tcPr>
            <w:tcW w:w="4438" w:type="dxa"/>
            <w:gridSpan w:val="2"/>
          </w:tcPr>
          <w:p w:rsidR="00AA1844" w:rsidRDefault="00AA1844" w:rsidP="00AA1844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844">
              <w:rPr>
                <w:rFonts w:ascii="Times New Roman" w:hAnsi="Times New Roman" w:cs="Times New Roman"/>
                <w:sz w:val="24"/>
                <w:szCs w:val="24"/>
              </w:rPr>
              <w:t>Написание проектов на эко-тематику/поддержка проектов</w:t>
            </w:r>
          </w:p>
        </w:tc>
        <w:tc>
          <w:tcPr>
            <w:tcW w:w="4413" w:type="dxa"/>
          </w:tcPr>
          <w:p w:rsidR="00AA1844" w:rsidRDefault="00AA1844" w:rsidP="00AA1844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6E97">
              <w:rPr>
                <w:rFonts w:ascii="Times New Roman" w:hAnsi="Times New Roman" w:cs="Times New Roman"/>
                <w:sz w:val="24"/>
                <w:szCs w:val="24"/>
              </w:rPr>
              <w:t>Организация вывоза контейнеров</w:t>
            </w:r>
          </w:p>
        </w:tc>
      </w:tr>
      <w:tr w:rsidR="00AA1844" w:rsidTr="00AA1844">
        <w:tc>
          <w:tcPr>
            <w:tcW w:w="4438" w:type="dxa"/>
            <w:gridSpan w:val="2"/>
            <w:tcBorders>
              <w:bottom w:val="single" w:sz="4" w:space="0" w:color="auto"/>
            </w:tcBorders>
          </w:tcPr>
          <w:p w:rsidR="00AA1844" w:rsidRPr="00F46E97" w:rsidRDefault="00AA1844" w:rsidP="00AA1844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9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акций</w:t>
            </w:r>
          </w:p>
        </w:tc>
        <w:tc>
          <w:tcPr>
            <w:tcW w:w="4413" w:type="dxa"/>
          </w:tcPr>
          <w:p w:rsidR="00AA1844" w:rsidRDefault="00AA1844" w:rsidP="00AA1844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6E97">
              <w:rPr>
                <w:rFonts w:ascii="Times New Roman" w:hAnsi="Times New Roman" w:cs="Times New Roman"/>
                <w:sz w:val="24"/>
                <w:szCs w:val="24"/>
              </w:rPr>
              <w:t>Контроль наполняемости контейнеров</w:t>
            </w:r>
          </w:p>
        </w:tc>
      </w:tr>
      <w:tr w:rsidR="00AA1844" w:rsidTr="00AA1844">
        <w:tc>
          <w:tcPr>
            <w:tcW w:w="44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1844" w:rsidRPr="00F46E97" w:rsidRDefault="00AA1844" w:rsidP="00AA1844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left w:val="single" w:sz="4" w:space="0" w:color="auto"/>
            </w:tcBorders>
          </w:tcPr>
          <w:p w:rsidR="00AA1844" w:rsidRPr="00F46E97" w:rsidRDefault="00AA1844" w:rsidP="00AA1844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97">
              <w:rPr>
                <w:rFonts w:ascii="Times New Roman" w:hAnsi="Times New Roman" w:cs="Times New Roman"/>
                <w:sz w:val="24"/>
                <w:szCs w:val="24"/>
              </w:rPr>
              <w:t>Нормативно- правовая часть (договорные обязательства)</w:t>
            </w:r>
          </w:p>
        </w:tc>
      </w:tr>
      <w:tr w:rsidR="00AA1844" w:rsidTr="004A5AB8">
        <w:trPr>
          <w:gridAfter w:val="1"/>
          <w:wAfter w:w="4413" w:type="dxa"/>
        </w:trPr>
        <w:tc>
          <w:tcPr>
            <w:tcW w:w="2219" w:type="dxa"/>
          </w:tcPr>
          <w:p w:rsidR="00AA1844" w:rsidRPr="00AA1844" w:rsidRDefault="00AA1844" w:rsidP="00AA1844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1844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Институты (студенты)</w:t>
            </w:r>
          </w:p>
        </w:tc>
        <w:tc>
          <w:tcPr>
            <w:tcW w:w="2219" w:type="dxa"/>
          </w:tcPr>
          <w:p w:rsidR="00AA1844" w:rsidRPr="00AA1844" w:rsidRDefault="00AA1844" w:rsidP="00AA184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844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информационной политики и взаимодействия с внешними партнёрами</w:t>
            </w:r>
          </w:p>
        </w:tc>
      </w:tr>
      <w:tr w:rsidR="00AA1844" w:rsidTr="00C35020">
        <w:trPr>
          <w:gridAfter w:val="1"/>
          <w:wAfter w:w="4413" w:type="dxa"/>
        </w:trPr>
        <w:tc>
          <w:tcPr>
            <w:tcW w:w="2219" w:type="dxa"/>
          </w:tcPr>
          <w:p w:rsidR="00AA1844" w:rsidRDefault="00AA1844" w:rsidP="00AA1844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844">
              <w:rPr>
                <w:rFonts w:ascii="Times New Roman" w:hAnsi="Times New Roman" w:cs="Times New Roman"/>
                <w:sz w:val="24"/>
                <w:szCs w:val="24"/>
              </w:rPr>
              <w:t>«Общее дело» (например, рейтинг самых экологичных институтов)</w:t>
            </w:r>
          </w:p>
        </w:tc>
        <w:tc>
          <w:tcPr>
            <w:tcW w:w="2219" w:type="dxa"/>
          </w:tcPr>
          <w:p w:rsidR="00AA1844" w:rsidRDefault="00AA1844" w:rsidP="00AA1844">
            <w:pPr>
              <w:pStyle w:val="a3"/>
              <w:spacing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844">
              <w:rPr>
                <w:rFonts w:ascii="Times New Roman" w:hAnsi="Times New Roman" w:cs="Times New Roman"/>
                <w:sz w:val="24"/>
                <w:szCs w:val="24"/>
              </w:rPr>
              <w:t>Трансляция позиции «У нас принято разделять». Помощь в информировании</w:t>
            </w:r>
          </w:p>
        </w:tc>
      </w:tr>
    </w:tbl>
    <w:p w:rsidR="00AA1844" w:rsidRPr="00593449" w:rsidRDefault="00AA1844" w:rsidP="00593449">
      <w:pPr>
        <w:pStyle w:val="a3"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430F" w:rsidRDefault="00F46E97" w:rsidP="00352A3A">
      <w:pPr>
        <w:pStyle w:val="a3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E97">
        <w:rPr>
          <w:rFonts w:ascii="Times New Roman" w:hAnsi="Times New Roman" w:cs="Times New Roman"/>
          <w:sz w:val="24"/>
          <w:szCs w:val="24"/>
        </w:rPr>
        <w:t xml:space="preserve">Сегодня перед нами стоят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F46E97">
        <w:rPr>
          <w:rFonts w:ascii="Times New Roman" w:hAnsi="Times New Roman" w:cs="Times New Roman"/>
          <w:sz w:val="24"/>
          <w:szCs w:val="24"/>
        </w:rPr>
        <w:t>задачи:</w:t>
      </w:r>
    </w:p>
    <w:p w:rsidR="00352A3A" w:rsidRPr="00F46E97" w:rsidRDefault="00352A3A" w:rsidP="00F46E97">
      <w:pPr>
        <w:pStyle w:val="a3"/>
        <w:numPr>
          <w:ilvl w:val="0"/>
          <w:numId w:val="8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6E97">
        <w:rPr>
          <w:rFonts w:ascii="Times New Roman" w:hAnsi="Times New Roman" w:cs="Times New Roman"/>
          <w:sz w:val="24"/>
          <w:szCs w:val="24"/>
        </w:rPr>
        <w:t xml:space="preserve">Реализовать раздельный сбор </w:t>
      </w:r>
      <w:r w:rsidR="00F46E97" w:rsidRPr="00F46E97">
        <w:rPr>
          <w:rFonts w:ascii="Times New Roman" w:hAnsi="Times New Roman" w:cs="Times New Roman"/>
          <w:sz w:val="24"/>
          <w:szCs w:val="24"/>
        </w:rPr>
        <w:t>на остальных площадках кампуса.</w:t>
      </w:r>
    </w:p>
    <w:p w:rsidR="00F46E97" w:rsidRPr="00F46E97" w:rsidRDefault="00F46E97" w:rsidP="00F46E97">
      <w:pPr>
        <w:pStyle w:val="a3"/>
        <w:numPr>
          <w:ilvl w:val="0"/>
          <w:numId w:val="8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6E97">
        <w:rPr>
          <w:rFonts w:ascii="Times New Roman" w:hAnsi="Times New Roman" w:cs="Times New Roman"/>
          <w:sz w:val="24"/>
          <w:szCs w:val="24"/>
        </w:rPr>
        <w:t>В столовых/буфетах университета заменить пластиковые контейнеры с маркировкой 6 (PS) на перерабатываемую упаковку, например, маркировки 5 (PP).</w:t>
      </w:r>
    </w:p>
    <w:p w:rsidR="00F46E97" w:rsidRPr="00F46E97" w:rsidRDefault="00F46E97" w:rsidP="00F46E97">
      <w:pPr>
        <w:pStyle w:val="a3"/>
        <w:numPr>
          <w:ilvl w:val="0"/>
          <w:numId w:val="8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6E97">
        <w:rPr>
          <w:rFonts w:ascii="Times New Roman" w:hAnsi="Times New Roman" w:cs="Times New Roman"/>
          <w:sz w:val="24"/>
          <w:szCs w:val="24"/>
        </w:rPr>
        <w:t>Найти места для хранения вторсырья на других площадках</w:t>
      </w:r>
    </w:p>
    <w:p w:rsidR="00F46E97" w:rsidRPr="00F46E97" w:rsidRDefault="00F46E97" w:rsidP="00F46E97">
      <w:pPr>
        <w:pStyle w:val="a3"/>
        <w:numPr>
          <w:ilvl w:val="0"/>
          <w:numId w:val="8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6E97">
        <w:rPr>
          <w:rFonts w:ascii="Times New Roman" w:hAnsi="Times New Roman" w:cs="Times New Roman"/>
          <w:sz w:val="24"/>
          <w:szCs w:val="24"/>
        </w:rPr>
        <w:t>Обеспечить все площадки контейнерами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E97" w:rsidRPr="00F46E97" w:rsidRDefault="00F46E97" w:rsidP="00F46E97">
      <w:pPr>
        <w:pStyle w:val="a3"/>
        <w:numPr>
          <w:ilvl w:val="0"/>
          <w:numId w:val="8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6E97">
        <w:rPr>
          <w:rFonts w:ascii="Times New Roman" w:hAnsi="Times New Roman" w:cs="Times New Roman"/>
          <w:sz w:val="24"/>
          <w:szCs w:val="24"/>
        </w:rPr>
        <w:t>Решить воп</w:t>
      </w:r>
      <w:r>
        <w:rPr>
          <w:rFonts w:ascii="Times New Roman" w:hAnsi="Times New Roman" w:cs="Times New Roman"/>
          <w:sz w:val="24"/>
          <w:szCs w:val="24"/>
        </w:rPr>
        <w:t>рос с уничтожением документов (</w:t>
      </w:r>
      <w:r w:rsidRPr="00F46E97">
        <w:rPr>
          <w:rFonts w:ascii="Times New Roman" w:hAnsi="Times New Roman" w:cs="Times New Roman"/>
          <w:sz w:val="24"/>
          <w:szCs w:val="24"/>
        </w:rPr>
        <w:t>существующий шредер не справляется)</w:t>
      </w:r>
    </w:p>
    <w:p w:rsidR="00F46E97" w:rsidRPr="00F46E97" w:rsidRDefault="00F46E97" w:rsidP="00F46E97">
      <w:pPr>
        <w:pStyle w:val="a3"/>
        <w:numPr>
          <w:ilvl w:val="0"/>
          <w:numId w:val="8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6E97">
        <w:rPr>
          <w:rFonts w:ascii="Times New Roman" w:hAnsi="Times New Roman" w:cs="Times New Roman"/>
          <w:sz w:val="24"/>
          <w:szCs w:val="24"/>
        </w:rPr>
        <w:t>Сконструировать пресс для уменьшения объемов пластика (в рамках курсовых, дипломных работ)</w:t>
      </w:r>
    </w:p>
    <w:p w:rsidR="00F46E97" w:rsidRPr="00F46E97" w:rsidRDefault="00F46E97" w:rsidP="00F46E97">
      <w:pPr>
        <w:pStyle w:val="a3"/>
        <w:numPr>
          <w:ilvl w:val="0"/>
          <w:numId w:val="8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6E97">
        <w:rPr>
          <w:rFonts w:ascii="Times New Roman" w:hAnsi="Times New Roman" w:cs="Times New Roman"/>
          <w:sz w:val="24"/>
          <w:szCs w:val="24"/>
        </w:rPr>
        <w:t>Оформить методологию организации деятельности по сопровождению раздельного сбора для передачи УЭХО (инструкции, порядок действий)</w:t>
      </w:r>
    </w:p>
    <w:p w:rsidR="00F46E97" w:rsidRPr="00F46E97" w:rsidRDefault="00F46E97" w:rsidP="00F46E97">
      <w:pPr>
        <w:pStyle w:val="a3"/>
        <w:numPr>
          <w:ilvl w:val="0"/>
          <w:numId w:val="8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6E97">
        <w:rPr>
          <w:rFonts w:ascii="Times New Roman" w:hAnsi="Times New Roman" w:cs="Times New Roman"/>
          <w:sz w:val="24"/>
          <w:szCs w:val="24"/>
        </w:rPr>
        <w:t>Усилить информационную кампанию</w:t>
      </w:r>
    </w:p>
    <w:p w:rsidR="00F46E97" w:rsidRPr="00F46E97" w:rsidRDefault="00F46E97" w:rsidP="00F46E97">
      <w:pPr>
        <w:pStyle w:val="a3"/>
        <w:numPr>
          <w:ilvl w:val="0"/>
          <w:numId w:val="8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6E97">
        <w:rPr>
          <w:rFonts w:ascii="Times New Roman" w:hAnsi="Times New Roman" w:cs="Times New Roman"/>
          <w:sz w:val="24"/>
          <w:szCs w:val="24"/>
        </w:rPr>
        <w:t>Вовлечь больше студентов в данную тему</w:t>
      </w:r>
    </w:p>
    <w:p w:rsidR="00D6430F" w:rsidRPr="00593449" w:rsidRDefault="00D6430F" w:rsidP="00F46E97">
      <w:pPr>
        <w:pStyle w:val="a3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430F" w:rsidRPr="00593449" w:rsidSect="0002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12B0"/>
    <w:multiLevelType w:val="hybridMultilevel"/>
    <w:tmpl w:val="2B0CE070"/>
    <w:lvl w:ilvl="0" w:tplc="B3705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570A7"/>
    <w:multiLevelType w:val="hybridMultilevel"/>
    <w:tmpl w:val="27E0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2F7B"/>
    <w:multiLevelType w:val="hybridMultilevel"/>
    <w:tmpl w:val="27E0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F37"/>
    <w:multiLevelType w:val="hybridMultilevel"/>
    <w:tmpl w:val="4596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C21D8"/>
    <w:multiLevelType w:val="hybridMultilevel"/>
    <w:tmpl w:val="27E0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F6940"/>
    <w:multiLevelType w:val="hybridMultilevel"/>
    <w:tmpl w:val="34DAF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F3CDE"/>
    <w:multiLevelType w:val="hybridMultilevel"/>
    <w:tmpl w:val="9D44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86D45"/>
    <w:multiLevelType w:val="hybridMultilevel"/>
    <w:tmpl w:val="6400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70615"/>
    <w:rsid w:val="0000517F"/>
    <w:rsid w:val="000247A2"/>
    <w:rsid w:val="000664D9"/>
    <w:rsid w:val="00165BDB"/>
    <w:rsid w:val="00177727"/>
    <w:rsid w:val="001D669A"/>
    <w:rsid w:val="00202B6B"/>
    <w:rsid w:val="00210D7D"/>
    <w:rsid w:val="00254D4F"/>
    <w:rsid w:val="00352A3A"/>
    <w:rsid w:val="00370615"/>
    <w:rsid w:val="004173DA"/>
    <w:rsid w:val="00593449"/>
    <w:rsid w:val="00622BD5"/>
    <w:rsid w:val="00630D52"/>
    <w:rsid w:val="00670E30"/>
    <w:rsid w:val="006960D2"/>
    <w:rsid w:val="006D2B86"/>
    <w:rsid w:val="006F1F6E"/>
    <w:rsid w:val="007329A3"/>
    <w:rsid w:val="00747544"/>
    <w:rsid w:val="00843BB2"/>
    <w:rsid w:val="008A7FDD"/>
    <w:rsid w:val="008D683D"/>
    <w:rsid w:val="00A971CD"/>
    <w:rsid w:val="00AA1844"/>
    <w:rsid w:val="00AA4B00"/>
    <w:rsid w:val="00B01C35"/>
    <w:rsid w:val="00BC5858"/>
    <w:rsid w:val="00BD5820"/>
    <w:rsid w:val="00C80990"/>
    <w:rsid w:val="00D07DB1"/>
    <w:rsid w:val="00D6430F"/>
    <w:rsid w:val="00E16219"/>
    <w:rsid w:val="00EE4ED4"/>
    <w:rsid w:val="00EE4FFC"/>
    <w:rsid w:val="00F46E97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4B8E1-DDBC-48ED-B47B-FAEBDAA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61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706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61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4093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7360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991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349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248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191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58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32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Макулатура, кг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Макулатура, кг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25800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Макулатура, кг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Макулатура, кг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12600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Макулатура, кг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14600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Макулатура, кг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9200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Макулатура, кг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11500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Макулатура, кг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9980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1172352"/>
        <c:axId val="396238880"/>
      </c:barChart>
      <c:catAx>
        <c:axId val="45117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96238880"/>
        <c:crosses val="autoZero"/>
        <c:auto val="1"/>
        <c:lblAlgn val="ctr"/>
        <c:lblOffset val="100"/>
        <c:noMultiLvlLbl val="0"/>
      </c:catAx>
      <c:valAx>
        <c:axId val="39623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11723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Пластик, кг</c:v>
                </c:pt>
                <c:pt idx="1">
                  <c:v>Батарейки, кг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5.8</c:v>
                </c:pt>
                <c:pt idx="1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Пластик, кг</c:v>
                </c:pt>
                <c:pt idx="1">
                  <c:v>Батарейки, кг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34</c:v>
                </c:pt>
                <c:pt idx="1">
                  <c:v>11.5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Пластик, кг</c:v>
                </c:pt>
                <c:pt idx="1">
                  <c:v>Батарейки, кг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48.5</c:v>
                </c:pt>
                <c:pt idx="1">
                  <c:v>21.5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Пластик, кг</c:v>
                </c:pt>
                <c:pt idx="1">
                  <c:v>Батарейки, кг 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Пластик, кг</c:v>
                </c:pt>
                <c:pt idx="1">
                  <c:v>Батарейки, кг 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85.6</c:v>
                </c:pt>
                <c:pt idx="1">
                  <c:v>108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Пластик, кг</c:v>
                </c:pt>
                <c:pt idx="1">
                  <c:v>Батарейки, кг 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71.2</c:v>
                </c:pt>
                <c:pt idx="1">
                  <c:v>174.9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Пластик, кг</c:v>
                </c:pt>
                <c:pt idx="1">
                  <c:v>Батарейки, кг 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30</c:v>
                </c:pt>
                <c:pt idx="1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6237312"/>
        <c:axId val="393860848"/>
      </c:barChart>
      <c:catAx>
        <c:axId val="396237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3860848"/>
        <c:crosses val="autoZero"/>
        <c:auto val="1"/>
        <c:lblAlgn val="ctr"/>
        <c:lblOffset val="100"/>
        <c:noMultiLvlLbl val="0"/>
      </c:catAx>
      <c:valAx>
        <c:axId val="39386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6237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школ 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10</c:v>
                </c:pt>
                <c:pt idx="2">
                  <c:v>24</c:v>
                </c:pt>
                <c:pt idx="3">
                  <c:v>20</c:v>
                </c:pt>
                <c:pt idx="4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8669512"/>
        <c:axId val="398671864"/>
      </c:barChart>
      <c:catAx>
        <c:axId val="398669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98671864"/>
        <c:crosses val="autoZero"/>
        <c:auto val="1"/>
        <c:lblAlgn val="ctr"/>
        <c:lblOffset val="100"/>
        <c:noMultiLvlLbl val="0"/>
      </c:catAx>
      <c:valAx>
        <c:axId val="398671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8669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Количество, кг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915</c:v>
                </c:pt>
                <c:pt idx="1">
                  <c:v>2922</c:v>
                </c:pt>
                <c:pt idx="2">
                  <c:v>2963</c:v>
                </c:pt>
                <c:pt idx="3">
                  <c:v>4107</c:v>
                </c:pt>
                <c:pt idx="4">
                  <c:v>5252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8670296"/>
        <c:axId val="398673432"/>
      </c:barChart>
      <c:catAx>
        <c:axId val="398670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98673432"/>
        <c:crosses val="autoZero"/>
        <c:auto val="1"/>
        <c:lblAlgn val="ctr"/>
        <c:lblOffset val="100"/>
        <c:noMultiLvlLbl val="0"/>
      </c:catAx>
      <c:valAx>
        <c:axId val="398673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8670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0.10338</cdr:x>
      <cdr:y>0.02893</cdr:y>
    </cdr:from>
    <cdr:to>
      <cdr:x>0.26136</cdr:x>
      <cdr:y>0.29976</cdr:y>
    </cdr:to>
    <cdr:pic>
      <cdr:nvPicPr>
        <cdr:cNvPr id="2" name="Picture 3" descr="Z:\03_ЭКОЛОГИЯ_08.03-03\01_Green Project\Green Project 2019 осень\Документы\ipad_1.png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 cstate="print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67160" y="92597"/>
          <a:ext cx="866768" cy="866768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920BA-511B-4BCD-AA85-0AB468AF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 2017</dc:creator>
  <cp:lastModifiedBy>алина межеумова</cp:lastModifiedBy>
  <cp:revision>11</cp:revision>
  <dcterms:created xsi:type="dcterms:W3CDTF">2019-12-25T07:38:00Z</dcterms:created>
  <dcterms:modified xsi:type="dcterms:W3CDTF">2020-04-19T23:26:00Z</dcterms:modified>
</cp:coreProperties>
</file>