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19" w:rsidRDefault="00253A19" w:rsidP="00253A19">
      <w:pPr>
        <w:spacing w:after="0" w:line="240" w:lineRule="auto"/>
        <w:contextualSpacing/>
        <w:jc w:val="center"/>
        <w:rPr>
          <w:rFonts w:ascii="Liberation Sans" w:eastAsia="Calibri" w:hAnsi="Liberation Sans" w:cs="Liberation Sans"/>
          <w:b/>
          <w:sz w:val="32"/>
          <w:szCs w:val="32"/>
        </w:rPr>
      </w:pPr>
      <w:r>
        <w:rPr>
          <w:rFonts w:ascii="Liberation Sans" w:eastAsia="Calibri" w:hAnsi="Liberation Sans" w:cs="Liberation Sans"/>
          <w:b/>
          <w:sz w:val="32"/>
          <w:szCs w:val="32"/>
        </w:rPr>
        <w:t>МУНИЦИПАЛЬНЫЙ ОКРУГ ЯМАЛЬСКИЙ РАЙОН</w:t>
      </w:r>
    </w:p>
    <w:p w:rsidR="00253A19" w:rsidRDefault="00253A19" w:rsidP="00253A19">
      <w:pPr>
        <w:spacing w:after="0" w:line="240" w:lineRule="auto"/>
        <w:contextualSpacing/>
        <w:jc w:val="center"/>
        <w:rPr>
          <w:rFonts w:ascii="Liberation Sans" w:eastAsia="Calibri" w:hAnsi="Liberation Sans" w:cs="Liberation Sans"/>
          <w:b/>
          <w:sz w:val="32"/>
          <w:szCs w:val="32"/>
        </w:rPr>
      </w:pPr>
      <w:r>
        <w:rPr>
          <w:rFonts w:ascii="Liberation Sans" w:eastAsia="Calibri" w:hAnsi="Liberation Sans" w:cs="Liberation Sans"/>
          <w:b/>
          <w:sz w:val="32"/>
          <w:szCs w:val="32"/>
        </w:rPr>
        <w:t>ЯМАЛО-НЕНЕЦКОГО АВТОНОМНОГО ОКРУГА</w:t>
      </w:r>
    </w:p>
    <w:p w:rsidR="00253A19" w:rsidRDefault="00253A19" w:rsidP="00253A19">
      <w:pPr>
        <w:spacing w:after="0" w:line="240" w:lineRule="auto"/>
        <w:contextualSpacing/>
        <w:jc w:val="center"/>
        <w:rPr>
          <w:rFonts w:ascii="Liberation Sans" w:eastAsiaTheme="minorEastAsia" w:hAnsi="Liberation Sans" w:cs="Liberation Sans"/>
          <w:b/>
          <w:sz w:val="32"/>
          <w:szCs w:val="32"/>
        </w:rPr>
      </w:pPr>
      <w:r>
        <w:rPr>
          <w:rFonts w:ascii="Liberation Sans" w:hAnsi="Liberation Sans" w:cs="Liberation Sans"/>
          <w:b/>
          <w:sz w:val="32"/>
          <w:szCs w:val="32"/>
        </w:rPr>
        <w:t xml:space="preserve">АДМИНИСТРАЦИЯ ЯМАЛЬСКОГО РАЙОНА  </w:t>
      </w:r>
    </w:p>
    <w:p w:rsidR="00253A19" w:rsidRDefault="00253A19" w:rsidP="00253A19">
      <w:pPr>
        <w:spacing w:after="0" w:line="240" w:lineRule="auto"/>
        <w:contextualSpacing/>
        <w:jc w:val="center"/>
        <w:rPr>
          <w:rFonts w:ascii="Liberation Sans" w:hAnsi="Liberation Sans" w:cs="Liberation Sans"/>
          <w:b/>
          <w:sz w:val="40"/>
          <w:szCs w:val="40"/>
        </w:rPr>
      </w:pPr>
      <w:r>
        <w:rPr>
          <w:rFonts w:ascii="Liberation Sans" w:hAnsi="Liberation Sans" w:cs="Liberation Sans"/>
          <w:b/>
          <w:sz w:val="40"/>
          <w:szCs w:val="40"/>
        </w:rPr>
        <w:t xml:space="preserve"> ПОСТАНОВЛЕНИЕ</w:t>
      </w:r>
    </w:p>
    <w:p w:rsidR="00253A19" w:rsidRDefault="00253A19" w:rsidP="00253A19">
      <w:pPr>
        <w:spacing w:after="0" w:line="240" w:lineRule="auto"/>
        <w:contextualSpacing/>
        <w:rPr>
          <w:rFonts w:ascii="Liberation Sans" w:hAnsi="Liberation Sans" w:cs="Liberation Sans"/>
          <w:b/>
          <w:sz w:val="28"/>
          <w:szCs w:val="28"/>
        </w:rPr>
      </w:pPr>
    </w:p>
    <w:p w:rsidR="00253A19" w:rsidRDefault="00253A19" w:rsidP="00253A19">
      <w:pPr>
        <w:tabs>
          <w:tab w:val="left" w:pos="7797"/>
        </w:tabs>
        <w:spacing w:after="0" w:line="240" w:lineRule="auto"/>
        <w:contextualSpacing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13 ноября </w:t>
      </w:r>
      <w:r>
        <w:rPr>
          <w:rFonts w:ascii="Liberation Sans" w:hAnsi="Liberation Sans" w:cs="Liberation Sans"/>
          <w:sz w:val="26"/>
          <w:szCs w:val="26"/>
        </w:rPr>
        <w:t>2024 г.</w:t>
      </w:r>
      <w:r>
        <w:rPr>
          <w:rFonts w:ascii="Liberation Sans" w:hAnsi="Liberation Sans" w:cs="Liberation Sans"/>
          <w:sz w:val="26"/>
          <w:szCs w:val="26"/>
        </w:rPr>
        <w:tab/>
        <w:t xml:space="preserve">        </w:t>
      </w:r>
      <w:r>
        <w:rPr>
          <w:rFonts w:ascii="Liberation Sans" w:hAnsi="Liberation Sans" w:cs="Liberation Sans"/>
          <w:sz w:val="26"/>
          <w:szCs w:val="26"/>
        </w:rPr>
        <w:t xml:space="preserve">  </w:t>
      </w:r>
      <w:r>
        <w:rPr>
          <w:rFonts w:ascii="Liberation Sans" w:hAnsi="Liberation Sans" w:cs="Liberation Sans"/>
          <w:sz w:val="26"/>
          <w:szCs w:val="26"/>
        </w:rPr>
        <w:t xml:space="preserve">№ </w:t>
      </w:r>
      <w:r>
        <w:rPr>
          <w:rFonts w:ascii="Liberation Sans" w:hAnsi="Liberation Sans" w:cs="Liberation Sans"/>
          <w:sz w:val="26"/>
          <w:szCs w:val="26"/>
        </w:rPr>
        <w:t>1077</w:t>
      </w:r>
    </w:p>
    <w:p w:rsidR="00253A19" w:rsidRDefault="00253A19" w:rsidP="00253A19">
      <w:pPr>
        <w:tabs>
          <w:tab w:val="left" w:pos="7369"/>
        </w:tabs>
        <w:spacing w:after="0" w:line="240" w:lineRule="auto"/>
        <w:contextualSpacing/>
        <w:jc w:val="both"/>
        <w:rPr>
          <w:rFonts w:ascii="Liberation Sans" w:hAnsi="Liberation Sans" w:cs="Liberation Sans"/>
          <w:sz w:val="28"/>
          <w:szCs w:val="28"/>
        </w:rPr>
      </w:pPr>
    </w:p>
    <w:p w:rsidR="00253A19" w:rsidRDefault="00253A19" w:rsidP="00253A19">
      <w:pPr>
        <w:tabs>
          <w:tab w:val="left" w:pos="7369"/>
        </w:tabs>
        <w:spacing w:after="0" w:line="240" w:lineRule="auto"/>
        <w:contextualSpacing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с. Яр-Сале</w:t>
      </w:r>
    </w:p>
    <w:p w:rsidR="00B320BA" w:rsidRDefault="00B320BA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8"/>
          <w:szCs w:val="28"/>
          <w:highlight w:val="yellow"/>
        </w:rPr>
      </w:pPr>
    </w:p>
    <w:p w:rsidR="00253A19" w:rsidRDefault="00253A19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8"/>
          <w:szCs w:val="28"/>
          <w:highlight w:val="yellow"/>
        </w:rPr>
      </w:pPr>
    </w:p>
    <w:p w:rsidR="00253A19" w:rsidRDefault="00253A19">
      <w:pPr>
        <w:spacing w:after="0" w:line="240" w:lineRule="auto"/>
        <w:jc w:val="both"/>
        <w:rPr>
          <w:rFonts w:ascii="Liberation Sans" w:hAnsi="Liberation Sans" w:cs="Liberation Sans"/>
          <w:b/>
          <w:bCs/>
          <w:sz w:val="28"/>
          <w:szCs w:val="28"/>
          <w:highlight w:val="yellow"/>
        </w:rPr>
      </w:pPr>
    </w:p>
    <w:p w:rsidR="00B320BA" w:rsidRDefault="00253A19">
      <w:pPr>
        <w:spacing w:after="0" w:line="240" w:lineRule="auto"/>
        <w:jc w:val="center"/>
        <w:rPr>
          <w:rFonts w:ascii="Liberation Sans" w:eastAsia="Liberation Sans" w:hAnsi="Liberation Sans" w:cs="Liberation Sans"/>
          <w:b/>
          <w:bCs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b/>
          <w:bCs/>
          <w:color w:val="000000"/>
          <w:sz w:val="26"/>
          <w:szCs w:val="26"/>
        </w:rPr>
        <w:t>Об утверждении Положения о системе поощрения граждан, занимающихся добровольческой (волонтерской) деятельностью на территории муниципального округа Ямальский район Ямало-Ненецкого автономного округа</w:t>
      </w:r>
    </w:p>
    <w:p w:rsidR="00B320BA" w:rsidRDefault="00B320BA">
      <w:pPr>
        <w:spacing w:after="0" w:line="240" w:lineRule="auto"/>
        <w:rPr>
          <w:rFonts w:ascii="Liberation Sans" w:hAnsi="Liberation Sans" w:cs="Liberation Sans"/>
          <w:sz w:val="26"/>
          <w:szCs w:val="26"/>
        </w:rPr>
      </w:pPr>
    </w:p>
    <w:p w:rsidR="00B320BA" w:rsidRDefault="00253A19">
      <w:pPr>
        <w:spacing w:after="0" w:line="240" w:lineRule="auto"/>
        <w:ind w:firstLine="708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В  целях определения форм и механизмов поощрения граждан, занимающихся добровольческой (волонтерской) деятельностью на территории муниципального округа Ямальский район Ямало-Ненецкого автономного округа, в соответствии со статьей 17.4 Федерального закона о</w:t>
      </w:r>
      <w:r>
        <w:rPr>
          <w:rFonts w:ascii="Liberation Sans" w:hAnsi="Liberation Sans" w:cs="Liberation Sans"/>
          <w:sz w:val="26"/>
          <w:szCs w:val="26"/>
        </w:rPr>
        <w:t>т 11 августа             1995 года № 135-ФЗ «О благотворительной деятельности и добровольчестве (</w:t>
      </w:r>
      <w:proofErr w:type="spellStart"/>
      <w:r>
        <w:rPr>
          <w:rFonts w:ascii="Liberation Sans" w:hAnsi="Liberation Sans" w:cs="Liberation Sans"/>
          <w:sz w:val="26"/>
          <w:szCs w:val="26"/>
        </w:rPr>
        <w:t>волонтерстве</w:t>
      </w:r>
      <w:proofErr w:type="spellEnd"/>
      <w:r>
        <w:rPr>
          <w:rFonts w:ascii="Liberation Sans" w:hAnsi="Liberation Sans" w:cs="Liberation Sans"/>
          <w:sz w:val="26"/>
          <w:szCs w:val="26"/>
        </w:rPr>
        <w:t>)», статьей 16 Федерального закона от 06 октября 2003 года     № 131-ФЗ «Об общих принципах организации местного самоуправления Российской Федераци</w:t>
      </w:r>
      <w:r>
        <w:rPr>
          <w:rFonts w:ascii="Liberation Sans" w:hAnsi="Liberation Sans" w:cs="Liberation Sans"/>
          <w:sz w:val="26"/>
          <w:szCs w:val="26"/>
        </w:rPr>
        <w:t xml:space="preserve">и», руководствуясь пунктом 5 части 1 статьи 52 Устава муниципального округа Ямальский район Ямало-Ненецкого автономного округа, Администрация Ямальского района </w:t>
      </w:r>
      <w:r>
        <w:rPr>
          <w:rFonts w:ascii="Liberation Sans" w:hAnsi="Liberation Sans" w:cs="Liberation Sans"/>
          <w:b/>
          <w:bCs/>
          <w:sz w:val="26"/>
          <w:szCs w:val="26"/>
        </w:rPr>
        <w:t>п о с т а н о в л я е т</w:t>
      </w:r>
      <w:r>
        <w:rPr>
          <w:rFonts w:ascii="Liberation Sans" w:hAnsi="Liberation Sans" w:cs="Liberation Sans"/>
          <w:sz w:val="26"/>
          <w:szCs w:val="26"/>
        </w:rPr>
        <w:t>:</w:t>
      </w:r>
    </w:p>
    <w:p w:rsidR="00B320BA" w:rsidRDefault="00B320BA">
      <w:pPr>
        <w:spacing w:after="0" w:line="240" w:lineRule="auto"/>
        <w:jc w:val="both"/>
        <w:rPr>
          <w:rFonts w:ascii="Liberation Sans" w:hAnsi="Liberation Sans" w:cs="Liberation Sans"/>
          <w:b/>
          <w:sz w:val="26"/>
          <w:szCs w:val="26"/>
        </w:rPr>
      </w:pPr>
    </w:p>
    <w:p w:rsidR="00B320BA" w:rsidRDefault="00253A19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ans" w:eastAsia="Liberation Sans" w:hAnsi="Liberation Sans" w:cs="Liberation Sans"/>
          <w:sz w:val="26"/>
          <w:szCs w:val="26"/>
          <w:shd w:val="clear" w:color="auto" w:fill="FFFFFF"/>
        </w:rPr>
        <w:t>Утвердить Положение о системе поощрения граждан, занимающихся добровол</w:t>
      </w:r>
      <w:r>
        <w:rPr>
          <w:rFonts w:ascii="Liberation Sans" w:eastAsia="Liberation Sans" w:hAnsi="Liberation Sans" w:cs="Liberation Sans"/>
          <w:sz w:val="26"/>
          <w:szCs w:val="26"/>
          <w:shd w:val="clear" w:color="auto" w:fill="FFFFFF"/>
        </w:rPr>
        <w:t>ьческой (волонтерской) деятельностью на территории муниципального округа Ямальский район Ямало-Ненецкого автономного округа согласно приложению к настоящему постановлению.</w:t>
      </w:r>
    </w:p>
    <w:p w:rsidR="00B320BA" w:rsidRDefault="00253A19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ans" w:eastAsia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sz w:val="26"/>
          <w:szCs w:val="26"/>
        </w:rPr>
        <w:t>О</w:t>
      </w:r>
      <w:r>
        <w:rPr>
          <w:rFonts w:ascii="Liberation Sans" w:eastAsia="Liberation Sans" w:hAnsi="Liberation Sans" w:cs="Liberation Sans"/>
          <w:sz w:val="26"/>
          <w:szCs w:val="26"/>
        </w:rPr>
        <w:t>тделу документационного обеспечения Управления делами Администрации Ямальского района обеспечить опубликование настоящего постановления в сетевом издании «ЯТВ» (YAMALTV.ru) и размещение на официальном сайте муниципального округа Ямальский район Ямало-Ненец</w:t>
      </w:r>
      <w:r>
        <w:rPr>
          <w:rFonts w:ascii="Liberation Sans" w:eastAsia="Liberation Sans" w:hAnsi="Liberation Sans" w:cs="Liberation Sans"/>
          <w:sz w:val="26"/>
          <w:szCs w:val="26"/>
        </w:rPr>
        <w:t>кого автономного округа в информационно- телекоммуникационной сети «</w:t>
      </w:r>
      <w:proofErr w:type="gramStart"/>
      <w:r>
        <w:rPr>
          <w:rFonts w:ascii="Liberation Sans" w:eastAsia="Liberation Sans" w:hAnsi="Liberation Sans" w:cs="Liberation Sans"/>
          <w:sz w:val="26"/>
          <w:szCs w:val="26"/>
        </w:rPr>
        <w:t>Интернет»(</w:t>
      </w:r>
      <w:proofErr w:type="gramEnd"/>
      <w:r>
        <w:rPr>
          <w:rFonts w:ascii="Liberation Sans" w:eastAsia="Liberation Sans" w:hAnsi="Liberation Sans" w:cs="Liberation Sans"/>
          <w:sz w:val="26"/>
          <w:szCs w:val="26"/>
        </w:rPr>
        <w:t>https://yam.yanao.ru).</w:t>
      </w:r>
    </w:p>
    <w:p w:rsidR="00B320BA" w:rsidRDefault="00253A19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ans" w:eastAsia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sz w:val="26"/>
          <w:szCs w:val="26"/>
        </w:rPr>
        <w:t>Контроль за исполнением настоящего постановления возложить на заместителя Главы Администрации Ямальского района по формированию и реализации единой социаль</w:t>
      </w:r>
      <w:r>
        <w:rPr>
          <w:rFonts w:ascii="Liberation Sans" w:eastAsia="Liberation Sans" w:hAnsi="Liberation Sans" w:cs="Liberation Sans"/>
          <w:sz w:val="26"/>
          <w:szCs w:val="26"/>
        </w:rPr>
        <w:t>ной политики.</w:t>
      </w:r>
    </w:p>
    <w:p w:rsidR="00B320BA" w:rsidRDefault="00B320BA">
      <w:pPr>
        <w:spacing w:after="0" w:line="240" w:lineRule="auto"/>
        <w:ind w:left="709"/>
        <w:jc w:val="both"/>
        <w:rPr>
          <w:rFonts w:ascii="Liberation Sans" w:hAnsi="Liberation Sans" w:cs="Liberation Sans"/>
          <w:sz w:val="26"/>
          <w:szCs w:val="26"/>
        </w:rPr>
      </w:pPr>
    </w:p>
    <w:p w:rsidR="00B320BA" w:rsidRDefault="00B320BA">
      <w:pPr>
        <w:spacing w:after="0" w:line="240" w:lineRule="auto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B320BA" w:rsidRDefault="00B320BA">
      <w:pPr>
        <w:spacing w:after="0" w:line="240" w:lineRule="auto"/>
        <w:rPr>
          <w:rFonts w:ascii="Liberation Sans" w:hAnsi="Liberation Sans" w:cs="Liberation Sans"/>
          <w:sz w:val="26"/>
          <w:szCs w:val="26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5331"/>
        <w:gridCol w:w="4307"/>
      </w:tblGrid>
      <w:tr w:rsidR="00B320BA">
        <w:trPr>
          <w:trHeight w:val="165"/>
        </w:trPr>
        <w:tc>
          <w:tcPr>
            <w:tcW w:w="5330" w:type="dxa"/>
          </w:tcPr>
          <w:p w:rsidR="00B320BA" w:rsidRDefault="00253A19">
            <w:pPr>
              <w:widowControl w:val="0"/>
              <w:spacing w:after="0" w:line="240" w:lineRule="auto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Глава Ямальского района           </w:t>
            </w:r>
          </w:p>
        </w:tc>
        <w:tc>
          <w:tcPr>
            <w:tcW w:w="4307" w:type="dxa"/>
          </w:tcPr>
          <w:p w:rsidR="00B320BA" w:rsidRDefault="00253A19">
            <w:pPr>
              <w:widowControl w:val="0"/>
              <w:spacing w:after="0" w:line="240" w:lineRule="auto"/>
              <w:jc w:val="right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Кугаевский</w:t>
            </w:r>
            <w:proofErr w:type="spellEnd"/>
          </w:p>
        </w:tc>
      </w:tr>
    </w:tbl>
    <w:p w:rsidR="00B320BA" w:rsidRDefault="00B320BA">
      <w:pPr>
        <w:spacing w:after="0" w:line="240" w:lineRule="auto"/>
        <w:rPr>
          <w:rFonts w:ascii="Liberation Sans" w:eastAsia="Liberation Sans" w:hAnsi="Liberation Sans" w:cs="Liberation Sans"/>
          <w:sz w:val="26"/>
          <w:szCs w:val="26"/>
        </w:rPr>
      </w:pPr>
    </w:p>
    <w:p w:rsidR="00B320BA" w:rsidRDefault="00253A19">
      <w:pPr>
        <w:rPr>
          <w:rFonts w:ascii="Liberation Sans" w:hAnsi="Liberation Sans" w:cs="Liberation Sans"/>
          <w:sz w:val="26"/>
          <w:szCs w:val="26"/>
        </w:rPr>
      </w:pPr>
      <w:r>
        <w:br w:type="page" w:clear="all"/>
      </w:r>
    </w:p>
    <w:p w:rsidR="00B320BA" w:rsidRDefault="00253A19">
      <w:pPr>
        <w:spacing w:after="0" w:line="240" w:lineRule="auto"/>
        <w:ind w:left="5244"/>
        <w:jc w:val="center"/>
        <w:rPr>
          <w:rFonts w:ascii="Liberation Sans" w:eastAsia="Liberation Sans" w:hAnsi="Liberation Sans" w:cs="Liberation Sans"/>
          <w:strike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lastRenderedPageBreak/>
        <w:t>УТВЕРЖДЕ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НО</w:t>
      </w:r>
    </w:p>
    <w:p w:rsidR="00B320BA" w:rsidRDefault="00253A19">
      <w:pPr>
        <w:spacing w:after="0" w:line="240" w:lineRule="auto"/>
        <w:ind w:left="5244"/>
        <w:jc w:val="center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>постановлени</w:t>
      </w:r>
      <w:r>
        <w:rPr>
          <w:rFonts w:ascii="Liberation Sans" w:eastAsia="Liberation Sans" w:hAnsi="Liberation Sans" w:cs="Liberation Sans"/>
          <w:sz w:val="26"/>
          <w:szCs w:val="26"/>
          <w:highlight w:val="white"/>
          <w:shd w:val="clear" w:color="auto" w:fill="00FF00"/>
        </w:rPr>
        <w:t xml:space="preserve">ем </w:t>
      </w: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>Администрации</w:t>
      </w:r>
    </w:p>
    <w:p w:rsidR="00B320BA" w:rsidRDefault="00253A19">
      <w:pPr>
        <w:spacing w:after="0" w:line="240" w:lineRule="auto"/>
        <w:ind w:left="5244"/>
        <w:jc w:val="center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>Ямальского района</w:t>
      </w:r>
    </w:p>
    <w:p w:rsidR="00B320BA" w:rsidRDefault="00253A19">
      <w:pPr>
        <w:spacing w:after="0" w:line="240" w:lineRule="auto"/>
        <w:ind w:left="5244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>от 13 ноября</w:t>
      </w: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 xml:space="preserve"> 2024 г</w:t>
      </w:r>
      <w:r>
        <w:rPr>
          <w:rFonts w:ascii="Liberation Sans" w:eastAsia="Liberation Sans" w:hAnsi="Liberation Sans" w:cs="Liberation Sans"/>
          <w:sz w:val="26"/>
          <w:szCs w:val="26"/>
          <w:highlight w:val="white"/>
          <w:shd w:val="clear" w:color="auto" w:fill="00FF00"/>
        </w:rPr>
        <w:t xml:space="preserve">ода </w:t>
      </w: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 xml:space="preserve">№ </w:t>
      </w:r>
      <w:r>
        <w:rPr>
          <w:rFonts w:ascii="Liberation Sans" w:eastAsia="Liberation Sans" w:hAnsi="Liberation Sans" w:cs="Liberation Sans"/>
          <w:sz w:val="26"/>
          <w:szCs w:val="26"/>
        </w:rPr>
        <w:t>1077</w:t>
      </w:r>
      <w:bookmarkStart w:id="0" w:name="_GoBack"/>
      <w:bookmarkEnd w:id="0"/>
    </w:p>
    <w:p w:rsidR="00B320BA" w:rsidRDefault="00B320BA">
      <w:pPr>
        <w:keepNext/>
        <w:spacing w:after="0" w:line="240" w:lineRule="auto"/>
        <w:ind w:left="1" w:hanging="3"/>
        <w:jc w:val="center"/>
        <w:rPr>
          <w:rFonts w:ascii="Liberation Sans" w:hAnsi="Liberation Sans" w:cs="Liberation Sans"/>
          <w:color w:val="000000"/>
          <w:sz w:val="26"/>
          <w:szCs w:val="26"/>
          <w:highlight w:val="yellow"/>
        </w:rPr>
      </w:pPr>
    </w:p>
    <w:p w:rsidR="00B320BA" w:rsidRDefault="00B320BA">
      <w:pPr>
        <w:keepNext/>
        <w:spacing w:after="0" w:line="240" w:lineRule="auto"/>
        <w:ind w:left="1" w:hanging="3"/>
        <w:jc w:val="center"/>
        <w:rPr>
          <w:rFonts w:ascii="Liberation Sans" w:hAnsi="Liberation Sans" w:cs="Liberation Sans"/>
          <w:color w:val="000000"/>
          <w:sz w:val="26"/>
          <w:szCs w:val="26"/>
          <w:highlight w:val="yellow"/>
        </w:rPr>
      </w:pPr>
    </w:p>
    <w:p w:rsidR="00B320BA" w:rsidRDefault="00253A19">
      <w:pPr>
        <w:spacing w:after="0" w:line="240" w:lineRule="auto"/>
        <w:ind w:left="1" w:hanging="3"/>
        <w:jc w:val="center"/>
        <w:rPr>
          <w:rFonts w:ascii="Liberation Sans" w:eastAsia="Liberation Sans" w:hAnsi="Liberation Sans" w:cs="Liberation Sans"/>
          <w:b/>
          <w:bCs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b/>
          <w:bCs/>
          <w:color w:val="000000"/>
          <w:sz w:val="26"/>
          <w:szCs w:val="26"/>
        </w:rPr>
        <w:t>Положение о системе поощрения граждан, занимающихся добровольческой (волонтерской) деятельностью на территории муниципального округа Ямальский район Ямало-Ненецкого автономного округа</w:t>
      </w:r>
      <w:r>
        <w:rPr>
          <w:rFonts w:ascii="Liberation Sans" w:eastAsia="Liberation Sans" w:hAnsi="Liberation Sans" w:cs="Liberation Sans"/>
          <w:b/>
          <w:bCs/>
          <w:color w:val="000000" w:themeColor="text1"/>
          <w:sz w:val="26"/>
          <w:szCs w:val="26"/>
        </w:rPr>
        <w:t xml:space="preserve"> </w:t>
      </w:r>
    </w:p>
    <w:p w:rsidR="00B320BA" w:rsidRDefault="00B320BA">
      <w:pPr>
        <w:spacing w:after="0" w:line="240" w:lineRule="auto"/>
        <w:ind w:left="1" w:hanging="3"/>
        <w:rPr>
          <w:rFonts w:ascii="Liberation Sans" w:hAnsi="Liberation Sans" w:cs="Liberation Sans"/>
          <w:color w:val="000000"/>
          <w:sz w:val="26"/>
          <w:szCs w:val="26"/>
        </w:rPr>
      </w:pPr>
    </w:p>
    <w:p w:rsidR="00B320BA" w:rsidRDefault="00253A19">
      <w:pPr>
        <w:spacing w:after="0" w:line="17" w:lineRule="atLeast"/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Раздел I.</w:t>
      </w:r>
    </w:p>
    <w:p w:rsidR="00B320BA" w:rsidRDefault="00253A19">
      <w:pPr>
        <w:spacing w:after="0" w:line="17" w:lineRule="atLeast"/>
        <w:jc w:val="center"/>
        <w:rPr>
          <w:b/>
          <w:bCs/>
        </w:rPr>
      </w:pP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  <w:t>Общие положения</w:t>
      </w:r>
    </w:p>
    <w:p w:rsidR="00B320BA" w:rsidRDefault="00B320BA">
      <w:pPr>
        <w:spacing w:after="0" w:line="17" w:lineRule="atLeast"/>
        <w:ind w:firstLine="709"/>
        <w:jc w:val="both"/>
      </w:pP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1.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Положение о системе поощрения граждан, занимающихся добровольческой (волонтерской) деятельностью на территории муниципального округа Ямальский район Ямало-Ненецкого автономного округа (далее - положение) разработано в соответствии с Федеральным законом от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11 августа 1995 года № 135-ФЗ «О благотворительной деятельности и добровольчестве (</w:t>
      </w:r>
      <w:proofErr w:type="spellStart"/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волонтерстве</w:t>
      </w:r>
      <w:proofErr w:type="spellEnd"/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)» и определяет формы и механизм поощрения граждан, занимающихся добровольческой (волонтерской) деятельностью на территории муниципального округа Ямальский район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Ямало-Ненецкого автономного округа (далее – Ямальский район).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2.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Система поощрения граждан, занимающихся добровольческой (волонтерской) деятельностью - это комплекс мер, направленных на обеспечение заинтересованности граждан в осуществлении добровольческо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й (волонтерской) деятельности (привлечении добровольцев (волонтеров).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3.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Основная цель поощрения граждан, занимающихся добровольческой (волонтерской) деятельностью - определение правил, прав, обязанностей и рекомендаций по признанию и поощрению добровольце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в (волонтеров), создание системы удержания и мотивации добровольцев (волонтеров).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4.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Задачи:</w:t>
      </w:r>
    </w:p>
    <w:p w:rsidR="00B320BA" w:rsidRDefault="00253A19">
      <w:pPr>
        <w:spacing w:after="0" w:line="17" w:lineRule="atLeast"/>
        <w:ind w:firstLine="709"/>
        <w:jc w:val="both"/>
        <w:rPr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1) популяризация и стимулирование деятельности добровольцев (волонтеров);</w:t>
      </w:r>
    </w:p>
    <w:p w:rsidR="00B320BA" w:rsidRDefault="00253A19">
      <w:pPr>
        <w:spacing w:after="0" w:line="17" w:lineRule="atLeast"/>
        <w:ind w:firstLine="709"/>
        <w:jc w:val="both"/>
        <w:rPr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2) повышение уровня узнаваемости добровольцев (волонтеров) и создание положительного имид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жа восприятия добровольчества (</w:t>
      </w:r>
      <w:proofErr w:type="spellStart"/>
      <w:r>
        <w:rPr>
          <w:rFonts w:ascii="Liberation Sans" w:hAnsi="Liberation Sans" w:cs="Liberation Sans"/>
          <w:color w:val="000000" w:themeColor="text1"/>
          <w:sz w:val="26"/>
          <w:szCs w:val="26"/>
        </w:rPr>
        <w:t>волонтерства</w:t>
      </w:r>
      <w:proofErr w:type="spellEnd"/>
      <w:r>
        <w:rPr>
          <w:rFonts w:ascii="Liberation Sans" w:hAnsi="Liberation Sans" w:cs="Liberation Sans"/>
          <w:color w:val="000000" w:themeColor="text1"/>
          <w:sz w:val="26"/>
          <w:szCs w:val="26"/>
        </w:rPr>
        <w:t>);</w:t>
      </w:r>
    </w:p>
    <w:p w:rsidR="00B320BA" w:rsidRDefault="00253A19">
      <w:pPr>
        <w:spacing w:after="0" w:line="17" w:lineRule="atLeast"/>
        <w:ind w:firstLine="709"/>
        <w:jc w:val="both"/>
        <w:rPr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3) создание мотивации у необходимого количества добровольцев (волонтеров);</w:t>
      </w:r>
    </w:p>
    <w:p w:rsidR="00B320BA" w:rsidRDefault="00253A19">
      <w:pPr>
        <w:spacing w:after="0" w:line="17" w:lineRule="atLeast"/>
        <w:ind w:firstLine="709"/>
        <w:jc w:val="both"/>
        <w:rPr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4) определение правил мотивации, признания и поощрения добровольцев (волонтеров);</w:t>
      </w:r>
    </w:p>
    <w:p w:rsidR="00B320BA" w:rsidRDefault="00253A19">
      <w:pPr>
        <w:spacing w:after="0" w:line="17" w:lineRule="atLeast"/>
        <w:ind w:firstLine="709"/>
        <w:jc w:val="both"/>
        <w:rPr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5) определение порядка и рекомендаций по признанию и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поощрению добровольцев (волонтеров);</w:t>
      </w:r>
    </w:p>
    <w:p w:rsidR="00B320BA" w:rsidRDefault="00253A19">
      <w:pPr>
        <w:spacing w:after="0" w:line="17" w:lineRule="atLeast"/>
        <w:ind w:firstLine="709"/>
        <w:jc w:val="both"/>
        <w:rPr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6) повышение уровня </w:t>
      </w:r>
      <w:proofErr w:type="spellStart"/>
      <w:r>
        <w:rPr>
          <w:rFonts w:ascii="Liberation Sans" w:hAnsi="Liberation Sans" w:cs="Liberation Sans"/>
          <w:color w:val="000000" w:themeColor="text1"/>
          <w:sz w:val="26"/>
          <w:szCs w:val="26"/>
        </w:rPr>
        <w:t>мотивированности</w:t>
      </w:r>
      <w:proofErr w:type="spellEnd"/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у добровольцев (волонтеров).</w:t>
      </w:r>
    </w:p>
    <w:p w:rsidR="00B320BA" w:rsidRDefault="00B320BA">
      <w:pPr>
        <w:spacing w:after="0" w:line="17" w:lineRule="atLeast"/>
        <w:ind w:firstLine="709"/>
        <w:jc w:val="both"/>
      </w:pPr>
    </w:p>
    <w:p w:rsidR="00B320BA" w:rsidRDefault="00253A19">
      <w:pPr>
        <w:spacing w:after="0" w:line="17" w:lineRule="atLeast"/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Theme="minorEastAsia" w:hAnsi="Liberation Sans" w:cs="Liberation Sans"/>
          <w:sz w:val="26"/>
          <w:szCs w:val="26"/>
        </w:rPr>
        <w:t>Раздел II.</w:t>
      </w:r>
    </w:p>
    <w:p w:rsidR="00B320BA" w:rsidRDefault="00253A19">
      <w:pPr>
        <w:spacing w:after="0" w:line="17" w:lineRule="atLeast"/>
        <w:jc w:val="center"/>
        <w:rPr>
          <w:b/>
          <w:bCs/>
        </w:rPr>
      </w:pP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  <w:t>Механизм стимулирования граждан, занимающихся добровольческой (волонтерской) деятельностью</w:t>
      </w:r>
    </w:p>
    <w:p w:rsidR="00B320BA" w:rsidRDefault="00B320BA">
      <w:pPr>
        <w:spacing w:after="0" w:line="17" w:lineRule="atLeast"/>
        <w:jc w:val="both"/>
      </w:pP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5.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Участниками системы поощрен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ия граждан, занимающихся добровольческой (волонтерской) деятельностью (далее - участники) на территории Ямальского района, являются: 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Управление культуры и молодежной политики Администрации Ямальского района (далее – уполномоченный орган);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Муниципальное бю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джетное учреждение «Ямальский молодежный центр «Импульс».</w:t>
      </w:r>
    </w:p>
    <w:p w:rsidR="00B320BA" w:rsidRDefault="00253A19">
      <w:pPr>
        <w:spacing w:after="0" w:line="17" w:lineRule="atLeast"/>
        <w:ind w:firstLine="709"/>
        <w:jc w:val="both"/>
        <w:rPr>
          <w:highlight w:val="yellow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6.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Участники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: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1)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самостоятельно определяют формы и методы стимулирования граждан, занимающихся добровольческой (волонтерской) деятельностью;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2)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определяют периодичность проведения мероприятий по стимулированию граждан, занимающихся добровольческой (волонтерской) деятельностью.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7.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Выявление лучших представителей добровольческого (волонтерского) движения на территории Ямальского района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осуществляетс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я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на основании ходатайств руководителей добровольческих (волонтерских) отрядов (объединений) по следующим критериям: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1) учет времени, затраченного добровольцем (волонтером) в рамках добровольческой (волонтерской) деятельности, в том числе с помощью Единой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информационной системы «Добровольцы России»;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2) выявление кандидатов добровольцев (волонтеров), которые наибольшее количество времени осуществляли добровольческую (волонтерскую) деятельность на массовых мероприятиях;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3) выявление кандидатов добровольцев (в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олонтеров), которые наибольшее количество времени осуществляли добровольческую (волонтерскую) деятельность в качестве командного лидера.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8. Определение лучших добровольцев (волонтеров) через Единую информационную систему «Добровольцы России»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осуществляется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автоматически системой на основе опыта и количества отработанных часов добровольцем (волонтером).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9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. Определение лучших добровольцев (волонтеров) осуществляется на основании представления, представленного по форме согласно приложению к настоящему Положени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ю, руководителями добровольческих (волонтерских) отрядов (объединений). Представление рассматривается участником и принимается решение о форме стимулирования гражданина, занимающегося добровольческой (волонтерской) деятельностью.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10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. Контроль реализации ме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роприятий по поощрению граждан, занимающихся добровольческой (волонтерской) деятельностью, осуществляет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Управление культуры и молодежной политики Администрации Ямальского района.</w:t>
      </w:r>
    </w:p>
    <w:p w:rsidR="00B320BA" w:rsidRDefault="00B320BA">
      <w:pPr>
        <w:spacing w:after="0" w:line="17" w:lineRule="atLeast"/>
        <w:rPr>
          <w:rFonts w:ascii="Liberation Sans" w:hAnsi="Liberation Sans" w:cs="Liberation Sans"/>
          <w:color w:val="000000" w:themeColor="text1"/>
          <w:sz w:val="26"/>
          <w:szCs w:val="26"/>
        </w:rPr>
      </w:pPr>
    </w:p>
    <w:p w:rsidR="00B320BA" w:rsidRDefault="00253A19">
      <w:pPr>
        <w:spacing w:after="0" w:line="17" w:lineRule="atLeast"/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Раздел III.</w:t>
      </w:r>
    </w:p>
    <w:p w:rsidR="00B320BA" w:rsidRDefault="00253A19">
      <w:pPr>
        <w:spacing w:after="0" w:line="17" w:lineRule="atLeast"/>
        <w:jc w:val="center"/>
        <w:rPr>
          <w:rFonts w:ascii="Liberation Sans" w:hAnsi="Liberation Sans" w:cs="Liberation Sans"/>
          <w:b/>
          <w:bCs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  <w:t>Формы стимулирования граждан, занимающихся добровольческой (воло</w:t>
      </w:r>
      <w:r>
        <w:rPr>
          <w:rFonts w:ascii="Liberation Sans" w:hAnsi="Liberation Sans" w:cs="Liberation Sans"/>
          <w:b/>
          <w:bCs/>
          <w:color w:val="000000" w:themeColor="text1"/>
          <w:sz w:val="26"/>
          <w:szCs w:val="26"/>
        </w:rPr>
        <w:t>нтерской) деятельностью</w:t>
      </w:r>
    </w:p>
    <w:p w:rsidR="00B320BA" w:rsidRDefault="00B320BA">
      <w:pPr>
        <w:spacing w:after="0" w:line="17" w:lineRule="atLeast"/>
        <w:ind w:firstLine="709"/>
        <w:jc w:val="both"/>
      </w:pP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11.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При формировании модели стимулирования учитывается территориальная специфика и специфика занятости добровольцев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lastRenderedPageBreak/>
        <w:t>(волонтеров), возрастная категория, мотивация участия граждан в добровольческой (волонтерской) деятельности. В зави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симости от того, какие потребности добровольцев (волонтеров) подлежат удовлетворению, выделяется следующая классификация мер: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1)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творческо-организационные - меры, направленные на получение новых знаний, навыков, умений, опыта профессиональной деятельности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и карьерного роста;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2)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социально-психологические - меры, включающие в себя общественное признание, личную похвалу, награды, благодарности и другое;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3)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социально-бытовые - меры, направленные на получение льгот, не предусмотренных законодательством Российской Федерации, в том числе различного рода программы лояльности, организация досуга и оздоровления.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12. Поддержка участников добровольческой (волонтерск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ой) деятельности на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территории Ямальского района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осуществляется в следующих формах:</w:t>
      </w:r>
    </w:p>
    <w:p w:rsidR="00B320BA" w:rsidRDefault="00253A19">
      <w:pPr>
        <w:spacing w:after="0" w:line="17" w:lineRule="atLeast"/>
        <w:ind w:firstLine="709"/>
        <w:jc w:val="both"/>
        <w:rPr>
          <w:highlight w:val="yellow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1)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финансовая поддержка; 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2) организационная поддержка;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3) информационная поддержка;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4) консультационная поддержка;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5) имущественная поддержка;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6) методическая поддержка.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13. Финансовая поддержка участников добровольческой (волонтерской) деятельности осуществляется в виде предоставления грантов в форме субсидий на конкурсной основе в сфере культуры и молодежной политики муниципального округа Ямальский район Ямало-Ненецкого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автономного округа.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14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. Организационная поддержка участников добровольческой (волонтерской) деятельности осуществляется в виде: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1) содействия в участии участников добровольческой (волонтерской) деятельности во всероссийских, межрегиональных и окружных конк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урсах и мероприятиях для участников добровольческой (волонтерской) деятельности, в слетах, обучающих семинарах и тренингах, фестивалях;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2) организации мероприятий совместно с участниками добровольческой (волонтерской) деятельности.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15. Оказание информацион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ной поддержки участников добровольческой (волонтерской) деятельности осуществляется отраслевыми (функциональными) органами Администрации Ямальского района в соответствующей сфере деятельности путем размещения информации об участниках добровольческой (волон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терской) деятельности и осуществляемой ими деятельности на своих официальных сайтах в информационно-телекоммуникационной сети «Интернет».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Информационная поддержка участников добровольческой (волонтерской) деятельности осуществляется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путем размещения информ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ации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о добровольцах (волонтерах), их положительном опыте в средствах массовой информации.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16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. Оказание консультационной поддержки участников добровольческой (волонтерской) деятельности осуществляется путем: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1) разработки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уполномоченным органом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методических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материалов и инструкций по вопросам взаимодействия с ними, подведомственными им муниципальными учреждениями, а также осуществления ими своей уставной деятельности и </w:t>
      </w:r>
      <w:proofErr w:type="gramStart"/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соблюдения  законодательства</w:t>
      </w:r>
      <w:proofErr w:type="gramEnd"/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Российской Федерации, в том числе с использованием информацио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нно-коммуникационных технологий;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2) проведения обучающих тематических семинаров и научно-практических конференций по вопросам взаимодействия отраслевых (функциональных) органов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Администрации Ямальского района,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подведомственных им муниципальных учреждений и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социально ориентированных некоммерческих организаций, а также по иным социально значимым вопросам.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17. Имущественная поддержка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частников добровольческой (волонтерской) деятельности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осуществляется в форме предоставления помещений в безвозмездное пользовани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е.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18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. Методическая поддержка участников добровольческой (волонтерской) деятельности осуществляется в форме разработки и реализации мер, способствующих повышению информированности о возможностях добровольчества (</w:t>
      </w:r>
      <w:proofErr w:type="spellStart"/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волонтерства</w:t>
      </w:r>
      <w:proofErr w:type="spellEnd"/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), развитию компетенций участник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ов добровольческой (волонтерской) деятельности на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территории Ямальского района.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19. Поощрение добровольцев (волонтеров) на территории Ямальского района осуществляются в следующих формах: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1) представление к награждению наградами автономного округа в порядке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, предусмотренном законодательством автономного округа;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2) представление к награждению наградами муниципального округа Ямальский район Ямало-Ненецкого автономного округа в порядке, предусмотренном органами местного самоуправления;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3) иные нематериальные фо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рмы поощрения добровольцев (волонтеров).</w:t>
      </w:r>
    </w:p>
    <w:p w:rsidR="00B320BA" w:rsidRDefault="00253A19">
      <w:pPr>
        <w:spacing w:after="0" w:line="17" w:lineRule="atLeast"/>
        <w:ind w:firstLine="709"/>
        <w:jc w:val="both"/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20.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Порядок и условия предоставления поддержки и поощрения, предусмотренной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пунктами 12,19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настоящего Положения, устанавливаются постановлением Администрации Ямальского района.</w:t>
      </w:r>
    </w:p>
    <w:p w:rsidR="00B320BA" w:rsidRDefault="00253A19">
      <w:pPr>
        <w:spacing w:after="0" w:line="17" w:lineRule="atLeast"/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21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>. Не допускается оказание финансовой и имущественной поддержки организаторам добровольческой (волонтерской) деятельности, являющимся коммерческими организациями.</w:t>
      </w:r>
    </w:p>
    <w:p w:rsidR="00B320BA" w:rsidRDefault="00B320BA">
      <w:pPr>
        <w:spacing w:after="0" w:line="17" w:lineRule="atLeast"/>
        <w:jc w:val="both"/>
      </w:pPr>
    </w:p>
    <w:p w:rsidR="00B320BA" w:rsidRDefault="00253A19">
      <w:pP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br w:type="page" w:clear="all"/>
      </w:r>
    </w:p>
    <w:p w:rsidR="00B320BA" w:rsidRDefault="00253A19">
      <w:pPr>
        <w:pStyle w:val="aff"/>
        <w:spacing w:after="0" w:line="240" w:lineRule="auto"/>
        <w:ind w:left="4820" w:right="-1"/>
        <w:jc w:val="center"/>
        <w:rPr>
          <w:rFonts w:ascii="Liberation Sans" w:eastAsia="Liberation Sans" w:hAnsi="Liberation Sans" w:cs="Liberation Sans"/>
          <w:sz w:val="26"/>
          <w:szCs w:val="26"/>
        </w:rPr>
      </w:pPr>
      <w:r>
        <w:rPr>
          <w:rFonts w:ascii="Liberation Sans" w:eastAsiaTheme="minorEastAsia" w:hAnsi="Liberation Sans" w:cs="Liberation Sans"/>
          <w:sz w:val="26"/>
          <w:szCs w:val="26"/>
        </w:rPr>
        <w:t xml:space="preserve">Приложение </w:t>
      </w:r>
    </w:p>
    <w:p w:rsidR="00B320BA" w:rsidRDefault="00253A19">
      <w:pPr>
        <w:tabs>
          <w:tab w:val="left" w:pos="3940"/>
        </w:tabs>
        <w:spacing w:after="0" w:line="240" w:lineRule="auto"/>
        <w:ind w:left="4820" w:right="-1"/>
        <w:jc w:val="center"/>
        <w:rPr>
          <w:rFonts w:ascii="Liberation Sans" w:eastAsiaTheme="minorEastAsia" w:hAnsi="Liberation Sans" w:cs="Liberation Sans"/>
          <w:sz w:val="26"/>
          <w:szCs w:val="26"/>
        </w:rPr>
      </w:pPr>
      <w:r>
        <w:rPr>
          <w:rFonts w:ascii="Liberation Sans" w:eastAsiaTheme="minorEastAsia" w:hAnsi="Liberation Sans" w:cs="Liberation Sans"/>
          <w:sz w:val="26"/>
          <w:szCs w:val="26"/>
        </w:rPr>
        <w:t xml:space="preserve">к </w:t>
      </w:r>
      <w:r>
        <w:rPr>
          <w:rFonts w:ascii="Liberation Sans" w:eastAsiaTheme="minorEastAsia" w:hAnsi="Liberation Sans" w:cs="Liberation Sans"/>
          <w:sz w:val="26"/>
          <w:szCs w:val="26"/>
        </w:rPr>
        <w:t xml:space="preserve">Положению о системе поощрения граждан, занимающихся добровольческой (волонтерской) деятельностью на территории муниципального округа Ямальский район Ямало-Ненецкого автономного округа </w:t>
      </w:r>
    </w:p>
    <w:p w:rsidR="00B320BA" w:rsidRDefault="00B320BA">
      <w:pPr>
        <w:tabs>
          <w:tab w:val="left" w:pos="3940"/>
        </w:tabs>
        <w:spacing w:after="0" w:line="240" w:lineRule="auto"/>
        <w:ind w:left="4820" w:right="-1"/>
        <w:jc w:val="center"/>
        <w:rPr>
          <w:rFonts w:ascii="Liberation Sans" w:hAnsi="Liberation Sans" w:cs="Liberation Sans"/>
          <w:sz w:val="26"/>
          <w:szCs w:val="26"/>
        </w:rPr>
      </w:pPr>
    </w:p>
    <w:p w:rsidR="00B320BA" w:rsidRDefault="00B320BA">
      <w:pPr>
        <w:tabs>
          <w:tab w:val="left" w:pos="3940"/>
        </w:tabs>
        <w:spacing w:after="0" w:line="240" w:lineRule="auto"/>
        <w:ind w:left="4820" w:right="-1"/>
        <w:jc w:val="center"/>
        <w:rPr>
          <w:rFonts w:ascii="Liberation Sans" w:hAnsi="Liberation Sans" w:cs="Liberation Sans"/>
          <w:sz w:val="26"/>
          <w:szCs w:val="26"/>
        </w:rPr>
      </w:pPr>
    </w:p>
    <w:p w:rsidR="00B320BA" w:rsidRDefault="00253A19">
      <w:pPr>
        <w:pStyle w:val="ConsPlusNormal"/>
        <w:jc w:val="center"/>
        <w:rPr>
          <w:rFonts w:ascii="Liberation Sans" w:hAnsi="Liberation Sans" w:cs="Liberation Sans"/>
          <w:lang w:val="ru-RU"/>
        </w:rPr>
      </w:pPr>
      <w:bookmarkStart w:id="1" w:name="undefined"/>
      <w:bookmarkEnd w:id="1"/>
      <w:r>
        <w:rPr>
          <w:rFonts w:ascii="Liberation Sans" w:eastAsia="Liberation Sans" w:hAnsi="Liberation Sans" w:cs="Liberation Sans"/>
          <w:sz w:val="26"/>
          <w:szCs w:val="26"/>
          <w:lang w:val="ru-RU"/>
        </w:rPr>
        <w:t>Представление</w:t>
      </w:r>
    </w:p>
    <w:p w:rsidR="00B320BA" w:rsidRDefault="00B320BA">
      <w:pPr>
        <w:pStyle w:val="ConsPlusNormal"/>
        <w:rPr>
          <w:rFonts w:ascii="Liberation Sans" w:hAnsi="Liberation Sans" w:cs="Liberation Sans"/>
          <w:lang w:val="ru-RU"/>
        </w:rPr>
      </w:pPr>
    </w:p>
    <w:p w:rsidR="00B320BA" w:rsidRDefault="00253A19">
      <w:pPr>
        <w:pStyle w:val="ConsPlusNormal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eastAsia="Liberation Sans" w:hAnsi="Liberation Sans" w:cs="Liberation Sans"/>
          <w:sz w:val="26"/>
          <w:szCs w:val="26"/>
          <w:lang w:val="ru-RU"/>
        </w:rPr>
        <w:t>Ф.И.О. ____________________________________________________________</w:t>
      </w:r>
    </w:p>
    <w:p w:rsidR="00B320BA" w:rsidRDefault="00253A19">
      <w:pPr>
        <w:pStyle w:val="ConsPlusNormal"/>
        <w:spacing w:before="240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eastAsia="Liberation Sans" w:hAnsi="Liberation Sans" w:cs="Liberation Sans"/>
          <w:sz w:val="26"/>
          <w:szCs w:val="26"/>
          <w:lang w:val="ru-RU"/>
        </w:rPr>
        <w:t>Дата рождения _____________________________________________________</w:t>
      </w:r>
    </w:p>
    <w:p w:rsidR="00B320BA" w:rsidRDefault="00253A19">
      <w:pPr>
        <w:pStyle w:val="ConsPlusNormal"/>
        <w:spacing w:before="240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eastAsia="Liberation Sans" w:hAnsi="Liberation Sans" w:cs="Liberation Sans"/>
          <w:sz w:val="26"/>
          <w:szCs w:val="26"/>
          <w:lang w:val="ru-RU"/>
        </w:rPr>
        <w:t>№ книжки (</w:t>
      </w:r>
      <w:r>
        <w:rPr>
          <w:rFonts w:ascii="Liberation Sans" w:eastAsia="Liberation Sans" w:hAnsi="Liberation Sans" w:cs="Liberation Sans"/>
          <w:sz w:val="26"/>
          <w:szCs w:val="26"/>
        </w:rPr>
        <w:t>ID</w:t>
      </w:r>
      <w:r>
        <w:rPr>
          <w:rFonts w:ascii="Liberation Sans" w:eastAsia="Liberation Sans" w:hAnsi="Liberation Sans" w:cs="Liberation Sans"/>
          <w:sz w:val="26"/>
          <w:szCs w:val="26"/>
          <w:lang w:val="ru-RU"/>
        </w:rPr>
        <w:t>) ______________________________________________________</w:t>
      </w:r>
    </w:p>
    <w:p w:rsidR="00B320BA" w:rsidRDefault="00253A19">
      <w:pPr>
        <w:pStyle w:val="ConsPlusNormal"/>
        <w:spacing w:before="240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eastAsia="Liberation Sans" w:hAnsi="Liberation Sans" w:cs="Liberation Sans"/>
          <w:sz w:val="26"/>
          <w:szCs w:val="26"/>
          <w:lang w:val="ru-RU"/>
        </w:rPr>
        <w:t>Дата выдачи личной книжки Добровольца (волонтера) _</w:t>
      </w:r>
      <w:r>
        <w:rPr>
          <w:rFonts w:ascii="Liberation Sans" w:eastAsia="Liberation Sans" w:hAnsi="Liberation Sans" w:cs="Liberation Sans"/>
          <w:sz w:val="26"/>
          <w:szCs w:val="26"/>
          <w:lang w:val="ru-RU"/>
        </w:rPr>
        <w:t>___________________</w:t>
      </w:r>
    </w:p>
    <w:p w:rsidR="00B320BA" w:rsidRDefault="00253A19">
      <w:pPr>
        <w:pStyle w:val="ConsPlusNormal"/>
        <w:spacing w:before="240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eastAsia="Liberation Sans" w:hAnsi="Liberation Sans" w:cs="Liberation Sans"/>
          <w:sz w:val="26"/>
          <w:szCs w:val="26"/>
          <w:lang w:val="ru-RU"/>
        </w:rPr>
        <w:t>Сведения о добровольческой (волонтерской) деятельности за период __________________________________________________________________</w:t>
      </w:r>
    </w:p>
    <w:p w:rsidR="00B320BA" w:rsidRDefault="00B320BA">
      <w:pPr>
        <w:pStyle w:val="ConsPlusNormal"/>
        <w:rPr>
          <w:rFonts w:ascii="Liberation Sans" w:hAnsi="Liberation Sans" w:cs="Liberation Sans"/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565"/>
        <w:gridCol w:w="3254"/>
        <w:gridCol w:w="1843"/>
        <w:gridCol w:w="2268"/>
      </w:tblGrid>
      <w:tr w:rsidR="00B320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253A19">
            <w:pPr>
              <w:pStyle w:val="ConsPlusNormal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№ п/п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253A19">
            <w:pPr>
              <w:pStyle w:val="ConsPlusNormal"/>
              <w:jc w:val="center"/>
              <w:rPr>
                <w:rFonts w:ascii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253A19">
            <w:pPr>
              <w:pStyle w:val="ConsPlusNormal"/>
              <w:jc w:val="center"/>
              <w:rPr>
                <w:rFonts w:ascii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Название</w:t>
            </w:r>
            <w:proofErr w:type="spellEnd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мероприятия</w:t>
            </w:r>
            <w:proofErr w:type="spellEnd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функция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253A19">
            <w:pPr>
              <w:pStyle w:val="ConsPlusNormal"/>
              <w:jc w:val="center"/>
              <w:rPr>
                <w:rFonts w:ascii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Количество</w:t>
            </w:r>
            <w:proofErr w:type="spellEnd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253A19">
            <w:pPr>
              <w:pStyle w:val="ConsPlusNormal"/>
              <w:jc w:val="center"/>
              <w:rPr>
                <w:rFonts w:ascii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Организатор</w:t>
            </w:r>
            <w:proofErr w:type="spellEnd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мероприятия</w:t>
            </w:r>
            <w:proofErr w:type="spellEnd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организация</w:t>
            </w:r>
            <w:proofErr w:type="spellEnd"/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)</w:t>
            </w:r>
          </w:p>
        </w:tc>
      </w:tr>
      <w:tr w:rsidR="00B320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</w:tr>
      <w:tr w:rsidR="00B320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</w:tr>
      <w:tr w:rsidR="00B320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</w:tr>
      <w:tr w:rsidR="00B320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</w:tr>
      <w:tr w:rsidR="00B320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</w:tr>
      <w:tr w:rsidR="00B320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</w:tr>
      <w:tr w:rsidR="00B320B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0BA" w:rsidRDefault="00B320BA">
            <w:pPr>
              <w:pStyle w:val="ConsPlusNormal"/>
              <w:rPr>
                <w:rFonts w:ascii="Liberation Sans" w:hAnsi="Liberation Sans" w:cs="Liberation Sans"/>
              </w:rPr>
            </w:pPr>
          </w:p>
        </w:tc>
      </w:tr>
    </w:tbl>
    <w:p w:rsidR="00B320BA" w:rsidRDefault="00B320BA">
      <w:pPr>
        <w:pStyle w:val="ConsPlusNormal"/>
        <w:rPr>
          <w:rFonts w:ascii="Liberation Sans" w:hAnsi="Liberation Sans" w:cs="Liberation Sans"/>
        </w:rPr>
      </w:pPr>
    </w:p>
    <w:p w:rsidR="00B320BA" w:rsidRDefault="00253A19">
      <w:pPr>
        <w:pStyle w:val="ConsPlusNormal"/>
        <w:jc w:val="both"/>
        <w:rPr>
          <w:rFonts w:ascii="Liberation Sans" w:hAnsi="Liberation Sans" w:cs="Liberation Sans"/>
        </w:rPr>
      </w:pPr>
      <w:proofErr w:type="spellStart"/>
      <w:r>
        <w:rPr>
          <w:rFonts w:ascii="Liberation Sans" w:eastAsia="Liberation Sans" w:hAnsi="Liberation Sans" w:cs="Liberation Sans"/>
          <w:sz w:val="26"/>
          <w:szCs w:val="26"/>
        </w:rPr>
        <w:t>Руководитель</w:t>
      </w:r>
      <w:proofErr w:type="spellEnd"/>
      <w:r>
        <w:rPr>
          <w:rFonts w:ascii="Liberation Sans" w:eastAsia="Liberation Sans" w:hAnsi="Liberation Sans" w:cs="Liberation Sans"/>
          <w:sz w:val="26"/>
          <w:szCs w:val="26"/>
        </w:rPr>
        <w:t>: ______________________________________________________</w:t>
      </w:r>
    </w:p>
    <w:p w:rsidR="00B320BA" w:rsidRDefault="00B320BA">
      <w:pPr>
        <w:pStyle w:val="ConsPlusNormal"/>
        <w:rPr>
          <w:rFonts w:ascii="Liberation Sans" w:hAnsi="Liberation Sans" w:cs="Liberation Sans"/>
        </w:rPr>
      </w:pPr>
    </w:p>
    <w:p w:rsidR="00B320BA" w:rsidRDefault="00253A19">
      <w:pPr>
        <w:pStyle w:val="ConsPlusNormal"/>
        <w:jc w:val="both"/>
        <w:rPr>
          <w:rFonts w:ascii="Liberation Sans" w:hAnsi="Liberation Sans" w:cs="Liberation Sans"/>
        </w:rPr>
      </w:pPr>
      <w:proofErr w:type="spellStart"/>
      <w:r>
        <w:rPr>
          <w:rFonts w:ascii="Liberation Sans" w:eastAsia="Liberation Sans" w:hAnsi="Liberation Sans" w:cs="Liberation Sans"/>
          <w:sz w:val="26"/>
          <w:szCs w:val="26"/>
        </w:rPr>
        <w:t>Дата</w:t>
      </w:r>
      <w:proofErr w:type="spellEnd"/>
      <w:r>
        <w:rPr>
          <w:rFonts w:ascii="Liberation Sans" w:eastAsia="Liberation Sans" w:hAnsi="Liberation Sans" w:cs="Liberation Sans"/>
          <w:sz w:val="26"/>
          <w:szCs w:val="26"/>
        </w:rPr>
        <w:t xml:space="preserve"> ______________________________________________________________</w:t>
      </w:r>
    </w:p>
    <w:p w:rsidR="00B320BA" w:rsidRDefault="00B320BA">
      <w:pPr>
        <w:tabs>
          <w:tab w:val="left" w:pos="3940"/>
        </w:tabs>
        <w:spacing w:after="0" w:line="240" w:lineRule="auto"/>
        <w:ind w:right="-1"/>
        <w:jc w:val="both"/>
        <w:rPr>
          <w:rFonts w:ascii="Liberation Sans" w:hAnsi="Liberation Sans" w:cs="Liberation Sans"/>
          <w:sz w:val="26"/>
          <w:szCs w:val="26"/>
        </w:rPr>
      </w:pPr>
    </w:p>
    <w:p w:rsidR="00B320BA" w:rsidRDefault="00B320BA">
      <w:pPr>
        <w:spacing w:after="0" w:line="17" w:lineRule="atLeast"/>
        <w:ind w:firstLine="709"/>
        <w:jc w:val="both"/>
        <w:rPr>
          <w:strike/>
          <w:color w:val="C9211E"/>
          <w:highlight w:val="white"/>
        </w:rPr>
      </w:pPr>
    </w:p>
    <w:p w:rsidR="00B320BA" w:rsidRDefault="00B320BA">
      <w:pPr>
        <w:spacing w:after="0" w:line="240" w:lineRule="auto"/>
        <w:ind w:left="1" w:hanging="3"/>
        <w:rPr>
          <w:rFonts w:ascii="Liberation Sans" w:hAnsi="Liberation Sans" w:cs="Liberation Sans"/>
          <w:color w:val="C9211E"/>
          <w:sz w:val="26"/>
          <w:szCs w:val="26"/>
          <w:highlight w:val="white"/>
        </w:rPr>
      </w:pPr>
    </w:p>
    <w:sectPr w:rsidR="00B320BA">
      <w:headerReference w:type="default" r:id="rId8"/>
      <w:pgSz w:w="11906" w:h="16838"/>
      <w:pgMar w:top="1134" w:right="567" w:bottom="1134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BA" w:rsidRDefault="00253A19">
      <w:pPr>
        <w:spacing w:after="0" w:line="240" w:lineRule="auto"/>
      </w:pPr>
      <w:r>
        <w:separator/>
      </w:r>
    </w:p>
  </w:endnote>
  <w:endnote w:type="continuationSeparator" w:id="0">
    <w:p w:rsidR="00B320BA" w:rsidRDefault="0025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BA" w:rsidRDefault="00253A19">
      <w:pPr>
        <w:rPr>
          <w:sz w:val="12"/>
        </w:rPr>
      </w:pPr>
      <w:r>
        <w:separator/>
      </w:r>
    </w:p>
  </w:footnote>
  <w:footnote w:type="continuationSeparator" w:id="0">
    <w:p w:rsidR="00B320BA" w:rsidRDefault="00253A1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0BA" w:rsidRDefault="00253A19">
    <w:pPr>
      <w:pStyle w:val="af3"/>
      <w:jc w:val="center"/>
    </w:pPr>
    <w:r>
      <w:rPr>
        <w:rFonts w:ascii="Liberation Sans" w:eastAsia="Liberation Sans" w:hAnsi="Liberation Sans" w:cs="Liberation Sans"/>
      </w:rPr>
      <w:fldChar w:fldCharType="begin"/>
    </w:r>
    <w:r>
      <w:rPr>
        <w:rFonts w:ascii="Liberation Sans" w:eastAsia="Liberation Sans" w:hAnsi="Liberation Sans" w:cs="Liberation Sans"/>
      </w:rPr>
      <w:instrText xml:space="preserve"> PAGE </w:instrText>
    </w:r>
    <w:r>
      <w:rPr>
        <w:rFonts w:ascii="Liberation Sans" w:eastAsia="Liberation Sans" w:hAnsi="Liberation Sans" w:cs="Liberation Sans"/>
      </w:rPr>
      <w:fldChar w:fldCharType="separate"/>
    </w:r>
    <w:r>
      <w:rPr>
        <w:rFonts w:ascii="Liberation Sans" w:eastAsia="Liberation Sans" w:hAnsi="Liberation Sans" w:cs="Liberation Sans"/>
        <w:noProof/>
      </w:rPr>
      <w:t>6</w:t>
    </w:r>
    <w:r>
      <w:rPr>
        <w:rFonts w:ascii="Liberation Sans" w:eastAsia="Liberation Sans" w:hAnsi="Liberation Sans" w:cs="Liberation Sans"/>
      </w:rPr>
      <w:fldChar w:fldCharType="end"/>
    </w:r>
  </w:p>
  <w:p w:rsidR="00B320BA" w:rsidRDefault="00B320B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37C18"/>
    <w:multiLevelType w:val="hybridMultilevel"/>
    <w:tmpl w:val="F04E5F26"/>
    <w:lvl w:ilvl="0" w:tplc="D160D05A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</w:lvl>
    <w:lvl w:ilvl="1" w:tplc="CBBCA26C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9C806368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FCDE8230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DAFA4FAC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DA744D66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A82EA14A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1C6A576E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96EC7D82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">
    <w:nsid w:val="388B7274"/>
    <w:multiLevelType w:val="multilevel"/>
    <w:tmpl w:val="7BA62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ans" w:eastAsia="Liberation Sans" w:hAnsi="Liberation Sans" w:cs="Liberation Sans"/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4A722D16"/>
    <w:multiLevelType w:val="hybridMultilevel"/>
    <w:tmpl w:val="BC90572E"/>
    <w:lvl w:ilvl="0" w:tplc="0A4AFF30">
      <w:start w:val="1"/>
      <w:numFmt w:val="decimal"/>
      <w:lvlText w:val="%1)"/>
      <w:lvlJc w:val="left"/>
      <w:pPr>
        <w:tabs>
          <w:tab w:val="num" w:pos="0"/>
        </w:tabs>
        <w:ind w:left="709" w:hanging="360"/>
      </w:pPr>
      <w:rPr>
        <w:rFonts w:ascii="Liberation Sans" w:hAnsi="Liberation Sans"/>
        <w:sz w:val="26"/>
        <w:szCs w:val="26"/>
      </w:rPr>
    </w:lvl>
    <w:lvl w:ilvl="1" w:tplc="8BE07F2C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330E291A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2C228F0A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D812B00A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2404F558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D82C877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35A67762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59928F6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nsid w:val="66BD30ED"/>
    <w:multiLevelType w:val="multilevel"/>
    <w:tmpl w:val="0900B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ans" w:eastAsia="Liberation Sans" w:hAnsi="Liberation Sans" w:cs="Liberation Sans"/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nsid w:val="6EA7577B"/>
    <w:multiLevelType w:val="hybridMultilevel"/>
    <w:tmpl w:val="85E061F8"/>
    <w:lvl w:ilvl="0" w:tplc="C87232F4">
      <w:start w:val="1"/>
      <w:numFmt w:val="decimal"/>
      <w:lvlText w:val="%1)"/>
      <w:lvlJc w:val="left"/>
      <w:pPr>
        <w:tabs>
          <w:tab w:val="num" w:pos="0"/>
        </w:tabs>
        <w:ind w:left="1417" w:hanging="360"/>
      </w:pPr>
    </w:lvl>
    <w:lvl w:ilvl="1" w:tplc="301616FC">
      <w:start w:val="1"/>
      <w:numFmt w:val="lowerLetter"/>
      <w:lvlText w:val="%2."/>
      <w:lvlJc w:val="left"/>
      <w:pPr>
        <w:tabs>
          <w:tab w:val="num" w:pos="0"/>
        </w:tabs>
        <w:ind w:left="2137" w:hanging="360"/>
      </w:pPr>
    </w:lvl>
    <w:lvl w:ilvl="2" w:tplc="3DAEBFFC">
      <w:start w:val="1"/>
      <w:numFmt w:val="lowerRoman"/>
      <w:lvlText w:val="%3."/>
      <w:lvlJc w:val="right"/>
      <w:pPr>
        <w:tabs>
          <w:tab w:val="num" w:pos="0"/>
        </w:tabs>
        <w:ind w:left="2857" w:hanging="180"/>
      </w:pPr>
    </w:lvl>
    <w:lvl w:ilvl="3" w:tplc="BFE096A8">
      <w:start w:val="1"/>
      <w:numFmt w:val="decimal"/>
      <w:lvlText w:val="%4."/>
      <w:lvlJc w:val="left"/>
      <w:pPr>
        <w:tabs>
          <w:tab w:val="num" w:pos="0"/>
        </w:tabs>
        <w:ind w:left="3577" w:hanging="360"/>
      </w:pPr>
    </w:lvl>
    <w:lvl w:ilvl="4" w:tplc="45D6AE66">
      <w:start w:val="1"/>
      <w:numFmt w:val="lowerLetter"/>
      <w:lvlText w:val="%5."/>
      <w:lvlJc w:val="left"/>
      <w:pPr>
        <w:tabs>
          <w:tab w:val="num" w:pos="0"/>
        </w:tabs>
        <w:ind w:left="4297" w:hanging="360"/>
      </w:pPr>
    </w:lvl>
    <w:lvl w:ilvl="5" w:tplc="1D62834C">
      <w:start w:val="1"/>
      <w:numFmt w:val="lowerRoman"/>
      <w:lvlText w:val="%6."/>
      <w:lvlJc w:val="right"/>
      <w:pPr>
        <w:tabs>
          <w:tab w:val="num" w:pos="0"/>
        </w:tabs>
        <w:ind w:left="5017" w:hanging="180"/>
      </w:pPr>
    </w:lvl>
    <w:lvl w:ilvl="6" w:tplc="88A0E7BC">
      <w:start w:val="1"/>
      <w:numFmt w:val="decimal"/>
      <w:lvlText w:val="%7."/>
      <w:lvlJc w:val="left"/>
      <w:pPr>
        <w:tabs>
          <w:tab w:val="num" w:pos="0"/>
        </w:tabs>
        <w:ind w:left="5737" w:hanging="360"/>
      </w:pPr>
    </w:lvl>
    <w:lvl w:ilvl="7" w:tplc="BC8CF292">
      <w:start w:val="1"/>
      <w:numFmt w:val="lowerLetter"/>
      <w:lvlText w:val="%8."/>
      <w:lvlJc w:val="left"/>
      <w:pPr>
        <w:tabs>
          <w:tab w:val="num" w:pos="0"/>
        </w:tabs>
        <w:ind w:left="6457" w:hanging="360"/>
      </w:pPr>
    </w:lvl>
    <w:lvl w:ilvl="8" w:tplc="5FA82796">
      <w:start w:val="1"/>
      <w:numFmt w:val="lowerRoman"/>
      <w:lvlText w:val="%9."/>
      <w:lvlJc w:val="right"/>
      <w:pPr>
        <w:tabs>
          <w:tab w:val="num" w:pos="0"/>
        </w:tabs>
        <w:ind w:left="7177" w:hanging="180"/>
      </w:pPr>
    </w:lvl>
  </w:abstractNum>
  <w:abstractNum w:abstractNumId="5">
    <w:nsid w:val="747F6A93"/>
    <w:multiLevelType w:val="hybridMultilevel"/>
    <w:tmpl w:val="C0DE7DB8"/>
    <w:lvl w:ilvl="0" w:tplc="67826C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C3EEA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8A9E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71A19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CE44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54EC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EE4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F21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AAACC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BA"/>
    <w:rsid w:val="00253A19"/>
    <w:rsid w:val="00B3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E5572-E5DF-445F-8055-3922E6E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styleId="af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qFormat/>
    <w:rPr>
      <w:rFonts w:ascii="Calibri" w:eastAsia="Times New Roman" w:hAnsi="Calibri" w:cs="Calibri"/>
      <w:lang w:eastAsia="ru-RU"/>
    </w:rPr>
  </w:style>
  <w:style w:type="character" w:customStyle="1" w:styleId="af4">
    <w:name w:val="Нижний колонтитул Знак"/>
    <w:basedOn w:val="a0"/>
    <w:link w:val="af5"/>
    <w:uiPriority w:val="99"/>
    <w:qFormat/>
    <w:rPr>
      <w:rFonts w:ascii="Calibri" w:eastAsia="Times New Roman" w:hAnsi="Calibri" w:cs="Calibri"/>
      <w:lang w:eastAsia="ru-RU"/>
    </w:rPr>
  </w:style>
  <w:style w:type="character" w:customStyle="1" w:styleId="23">
    <w:name w:val="Основной текст 2 Знак"/>
    <w:basedOn w:val="a0"/>
    <w:link w:val="2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Символ сноски"/>
    <w:qFormat/>
  </w:style>
  <w:style w:type="character" w:customStyle="1" w:styleId="af7">
    <w:name w:val="Символ концевой сноски"/>
    <w:qFormat/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Lohit Devanagari"/>
    </w:rPr>
  </w:style>
  <w:style w:type="paragraph" w:styleId="af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c">
    <w:name w:val="index heading"/>
    <w:basedOn w:val="af8"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pPr>
      <w:spacing w:after="160" w:line="259" w:lineRule="auto"/>
    </w:pPr>
  </w:style>
  <w:style w:type="paragraph" w:styleId="afe">
    <w:name w:val="table of figures"/>
    <w:basedOn w:val="a"/>
    <w:next w:val="a"/>
    <w:uiPriority w:val="99"/>
    <w:unhideWhenUsed/>
    <w:qFormat/>
    <w:pPr>
      <w:spacing w:after="0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1">
    <w:name w:val="Balloon Text"/>
    <w:basedOn w:val="a"/>
    <w:link w:val="af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f0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No Spacing"/>
    <w:uiPriority w:val="1"/>
    <w:qFormat/>
    <w:rPr>
      <w:rFonts w:cs="Calibri"/>
      <w:lang w:eastAsia="ru-RU"/>
    </w:rPr>
  </w:style>
  <w:style w:type="paragraph" w:styleId="24">
    <w:name w:val="Body Text 2"/>
    <w:basedOn w:val="a"/>
    <w:link w:val="23"/>
    <w:qFormat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f2">
    <w:name w:val="Normal (Web)"/>
    <w:uiPriority w:val="99"/>
    <w:unhideWhenUsed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qFormat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spokeBasic">
    <w:name w:val="Bespoke Basic"/>
    <w:qFormat/>
    <w:pPr>
      <w:widowControl w:val="0"/>
      <w:spacing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6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/>
      </w:tcPr>
    </w:tblStylePr>
    <w:tblStylePr w:type="band1Horz">
      <w:rPr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/>
      </w:tcPr>
    </w:tblStylePr>
    <w:tblStylePr w:type="firstCol">
      <w:rPr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/>
      </w:tcPr>
    </w:tblStylePr>
    <w:tblStylePr w:type="firstCol">
      <w:rPr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/>
      </w:tcPr>
    </w:tblStylePr>
    <w:tblStylePr w:type="firstCol">
      <w:rPr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/>
      </w:tcPr>
    </w:tblStylePr>
    <w:tblStylePr w:type="firstCol">
      <w:rPr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/>
      </w:tcPr>
    </w:tblStylePr>
    <w:tblStylePr w:type="firstCol">
      <w:rPr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/>
      </w:tcPr>
    </w:tblStylePr>
    <w:tblStylePr w:type="firstCol">
      <w:rPr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3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C3695-E37A-4CA6-9855-0925164D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SuslinaAI</dc:creator>
  <dc:description/>
  <cp:lastModifiedBy>Татьяна Анатольевна Черенева</cp:lastModifiedBy>
  <cp:revision>33</cp:revision>
  <dcterms:created xsi:type="dcterms:W3CDTF">2024-02-06T08:08:00Z</dcterms:created>
  <dcterms:modified xsi:type="dcterms:W3CDTF">2024-11-14T03:49:00Z</dcterms:modified>
  <dc:language>ru-RU</dc:language>
</cp:coreProperties>
</file>