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EA" w:rsidRDefault="009B3DEA" w:rsidP="009B3DEA">
      <w:pPr>
        <w:pStyle w:val="HTML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Положение</w:t>
      </w:r>
    </w:p>
    <w:p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муниципального Форума инициатив «Неравнодушный район»</w:t>
      </w:r>
    </w:p>
    <w:p w:rsidR="009B3DEA" w:rsidRDefault="009B3DEA" w:rsidP="009B3DEA">
      <w:pPr>
        <w:jc w:val="center"/>
        <w:rPr>
          <w:sz w:val="26"/>
          <w:szCs w:val="26"/>
        </w:rPr>
      </w:pPr>
    </w:p>
    <w:p w:rsidR="009B3DEA" w:rsidRDefault="009B3DEA" w:rsidP="009B3DEA">
      <w:pPr>
        <w:pStyle w:val="a4"/>
        <w:ind w:left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1. Общие положения</w:t>
      </w:r>
    </w:p>
    <w:p w:rsidR="009B3DEA" w:rsidRDefault="009B3DEA" w:rsidP="009B3DEA">
      <w:pPr>
        <w:pStyle w:val="a4"/>
        <w:ind w:left="0"/>
        <w:jc w:val="center"/>
        <w:rPr>
          <w:color w:val="000000" w:themeColor="text1"/>
          <w:sz w:val="26"/>
          <w:szCs w:val="26"/>
        </w:rPr>
      </w:pP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рамках реализации «Программы развития и поддержки институтов гражданского общества в Нефтеюганском районе «Неравнодушный Район», в целях создания устойчивой и эффективной системы первичной поддержки в сфере социально ориентированных некоммерческих организаций, добровольческих (волонтерских) объединений, креативных сообществ и реализации инициативных проектов организовать и провести муниципальный Форум инициатив «Неравнодушный район».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Организатором Форума является МАУ НР «КМЦ «Перспектива».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Соорганизаторы</w:t>
      </w:r>
      <w:proofErr w:type="spellEnd"/>
      <w:r>
        <w:rPr>
          <w:sz w:val="26"/>
          <w:szCs w:val="26"/>
        </w:rPr>
        <w:t>: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НРМАУ ДО «ЦКТ»;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ПМУ </w:t>
      </w:r>
      <w:proofErr w:type="spellStart"/>
      <w:r>
        <w:rPr>
          <w:sz w:val="26"/>
          <w:szCs w:val="26"/>
        </w:rPr>
        <w:t>ЦКиД</w:t>
      </w:r>
      <w:proofErr w:type="spellEnd"/>
      <w:r>
        <w:rPr>
          <w:sz w:val="26"/>
          <w:szCs w:val="26"/>
        </w:rPr>
        <w:t xml:space="preserve"> «Родники».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Организаторы Форума оставляют за собой право вносить изменения в настоящее положение с обязательным уведомлением участников.</w:t>
      </w:r>
    </w:p>
    <w:p w:rsidR="009B3DEA" w:rsidRDefault="009B3DEA" w:rsidP="009B3DEA">
      <w:pPr>
        <w:rPr>
          <w:sz w:val="26"/>
          <w:szCs w:val="26"/>
        </w:rPr>
      </w:pPr>
    </w:p>
    <w:p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Форума</w:t>
      </w:r>
    </w:p>
    <w:p w:rsidR="009B3DEA" w:rsidRDefault="009B3DEA" w:rsidP="009B3DEA">
      <w:pPr>
        <w:ind w:firstLine="709"/>
        <w:jc w:val="center"/>
        <w:rPr>
          <w:sz w:val="26"/>
          <w:szCs w:val="26"/>
        </w:rPr>
      </w:pP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Форум проводится с целью организации площадки, аккумулирующей общественные и государственные ресурсы для поддержки социально ориентированных коммерческих организаций, добровольческих (волонтерских) объединений, креативных сообществ и гражданских активистов Нефтеюганского района.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Задачи Форума: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квалификации руководителей социально ориентированных коммерческих организаций в вопросах разработки проектов для участия в грантовых конкурсах;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оказать содействие социально ориентированным коммерческим организациям в появлении новых услуг в социальной сфере;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волонтерской деятельности, формирование реестра добровольческих инициатив;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обмен опытом по реализации добровольческих инициатив и проектов;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опыта лучших проектов по инициативному бюджетированию, реализованных в 2021 году;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подготовке и реализации проектов инициативного бюджетирования;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взаимодействия органов местного самоуправления и населения муниципальных образований;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популяризация креативной индустрии и приобщение к обучению в различных сферах креативной индустрии;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выстраивание коммуникации через лидеров общественного мнения, в том числе среди молодежи;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информирование и вовлечение населения и органов власти в обсуждение качества социально-экономической среды путем развития и популяризации каждого направления креативных индустрий;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создание конкурентной среды по выявлению эффективных технологий работы креативных сообществ;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молодежи в разработку и реализацию проектов в сфере образования, науки, культуры, технологий, поддержка и популяризация инициатив и начинаний;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поддержка талантливой, инициативной молодежи и их социально-значимых проектов;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и поддержка молодёжных инициатив, направленных на улучшение качества жизни населения в регионе;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максимально гибкого включения молодежи в новые виды деятельности.</w:t>
      </w:r>
    </w:p>
    <w:p w:rsidR="009B3DEA" w:rsidRDefault="009B3DEA" w:rsidP="009B3DEA">
      <w:pPr>
        <w:ind w:firstLine="708"/>
        <w:jc w:val="both"/>
        <w:rPr>
          <w:sz w:val="26"/>
          <w:szCs w:val="26"/>
          <w:highlight w:val="yellow"/>
        </w:rPr>
      </w:pPr>
    </w:p>
    <w:p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Дата и место проведения мероприятия</w:t>
      </w:r>
    </w:p>
    <w:p w:rsidR="009B3DEA" w:rsidRDefault="009B3DEA" w:rsidP="009B3DEA">
      <w:pPr>
        <w:jc w:val="center"/>
        <w:rPr>
          <w:sz w:val="26"/>
          <w:szCs w:val="26"/>
        </w:rPr>
      </w:pP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Форум состоится </w:t>
      </w:r>
      <w:r>
        <w:rPr>
          <w:b/>
          <w:color w:val="000000" w:themeColor="text1"/>
          <w:sz w:val="26"/>
          <w:szCs w:val="26"/>
        </w:rPr>
        <w:t xml:space="preserve">28 мая 2022 года </w:t>
      </w:r>
      <w:r>
        <w:rPr>
          <w:sz w:val="26"/>
          <w:szCs w:val="26"/>
        </w:rPr>
        <w:t xml:space="preserve">на базе ПМУ </w:t>
      </w:r>
      <w:proofErr w:type="spellStart"/>
      <w:r>
        <w:rPr>
          <w:sz w:val="26"/>
          <w:szCs w:val="26"/>
        </w:rPr>
        <w:t>ЦКиД</w:t>
      </w:r>
      <w:proofErr w:type="spellEnd"/>
      <w:r>
        <w:rPr>
          <w:sz w:val="26"/>
          <w:szCs w:val="26"/>
        </w:rPr>
        <w:t xml:space="preserve"> «Родники» по адресу: </w:t>
      </w:r>
      <w:proofErr w:type="spellStart"/>
      <w:r>
        <w:rPr>
          <w:sz w:val="26"/>
          <w:szCs w:val="26"/>
        </w:rPr>
        <w:t>Нефтеюганский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>. Пойковский, микрорайон 1А, дом 112.</w:t>
      </w:r>
    </w:p>
    <w:p w:rsidR="009B3DEA" w:rsidRDefault="009B3DEA" w:rsidP="009B3DEA">
      <w:pPr>
        <w:shd w:val="clear" w:color="auto" w:fill="FFFFFF"/>
        <w:jc w:val="both"/>
        <w:rPr>
          <w:sz w:val="26"/>
          <w:szCs w:val="26"/>
        </w:rPr>
      </w:pPr>
    </w:p>
    <w:p w:rsidR="009B3DEA" w:rsidRDefault="009B3DEA" w:rsidP="009B3DEA">
      <w:pPr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4. Участники </w:t>
      </w:r>
      <w:r>
        <w:rPr>
          <w:b/>
          <w:sz w:val="26"/>
          <w:szCs w:val="26"/>
        </w:rPr>
        <w:t>мероприятия</w:t>
      </w:r>
    </w:p>
    <w:p w:rsidR="009B3DEA" w:rsidRDefault="009B3DEA" w:rsidP="009B3DEA">
      <w:pPr>
        <w:rPr>
          <w:sz w:val="26"/>
          <w:szCs w:val="26"/>
        </w:rPr>
      </w:pP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В Форуме принимают участие руководители и специалисты социально ориентированных коммерческих организаций, представители добровольческого (волонтерского) объединения «Серебряные волонтеры», представители креативного сообщества, гражданские активисты, лидеры общественного мнения среди молодежи. Для этого будут организованы образовательные площадки по направлениям: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некоммерческие организации;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серебряное волонтерство;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креативное сообщество;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инициативное бюджетирование;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Работа с молодыми лидерами.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Количество участников от поселений Нефтеюганского района регламентировано согласно квоте (приложение 1).</w:t>
      </w:r>
    </w:p>
    <w:p w:rsidR="009B3DEA" w:rsidRDefault="009B3DEA" w:rsidP="009B3DEA">
      <w:pPr>
        <w:jc w:val="both"/>
        <w:rPr>
          <w:sz w:val="26"/>
          <w:szCs w:val="26"/>
        </w:rPr>
      </w:pPr>
    </w:p>
    <w:p w:rsidR="009B3DEA" w:rsidRDefault="009B3DEA" w:rsidP="009B3DE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 Организация и условия участия в мероприятии</w:t>
      </w:r>
    </w:p>
    <w:p w:rsidR="009B3DEA" w:rsidRDefault="009B3DEA" w:rsidP="009B3DEA">
      <w:pPr>
        <w:rPr>
          <w:color w:val="FF0000"/>
          <w:sz w:val="26"/>
          <w:szCs w:val="26"/>
        </w:rPr>
      </w:pP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Форум является тематическим и проводится по следующим направлениям: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поддержка социально ориентированных некоммерческих организаций и взаимодействие с ними;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создании сообщества молодых лидеров общественного мнения;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населения Нефтеюганского района в творческую и креативную деятельность;</w:t>
      </w:r>
    </w:p>
    <w:p w:rsidR="009B3DEA" w:rsidRDefault="009B3DEA" w:rsidP="009B3DE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вовлечение старшего поколения в волонтерскую деятельность.</w:t>
      </w:r>
    </w:p>
    <w:p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5.2. Участникам Форума необходимо предусмотреть наличные средства для организации самостоятельного питания.</w:t>
      </w:r>
    </w:p>
    <w:p w:rsidR="009B3DEA" w:rsidRDefault="009B3DEA" w:rsidP="009B3DEA">
      <w:pPr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5.3. Заявку на участие в Форуме согласно форме (приложение) необходимо направить в адрес отдела по делам молодёжи по электронной почте </w:t>
      </w:r>
      <w:hyperlink r:id="rId5" w:history="1">
        <w:r>
          <w:rPr>
            <w:rStyle w:val="a3"/>
            <w:sz w:val="26"/>
            <w:szCs w:val="26"/>
            <w:lang w:val="en-US"/>
          </w:rPr>
          <w:t>molodejnr</w:t>
        </w:r>
        <w:r>
          <w:rPr>
            <w:rStyle w:val="a3"/>
            <w:sz w:val="26"/>
            <w:szCs w:val="26"/>
          </w:rPr>
          <w:t>@</w:t>
        </w:r>
        <w:r>
          <w:rPr>
            <w:rStyle w:val="a3"/>
            <w:sz w:val="26"/>
            <w:szCs w:val="26"/>
            <w:lang w:val="en-US"/>
          </w:rPr>
          <w:t>mail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9B3DEA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срок до 23 мая 2022 года с пометкой «Заявка на Форум».  </w:t>
      </w:r>
    </w:p>
    <w:p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5.4. Контактное лицо – Голикова Агата Леонардовна, тел: 517-606.</w:t>
      </w:r>
    </w:p>
    <w:p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</w:p>
    <w:p w:rsidR="009B3DEA" w:rsidRDefault="009B3DEA" w:rsidP="009B3DEA">
      <w:pPr>
        <w:ind w:firstLine="72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6. Проект программы Форума</w:t>
      </w:r>
    </w:p>
    <w:p w:rsidR="009B3DEA" w:rsidRDefault="009B3DEA" w:rsidP="009B3DEA">
      <w:pPr>
        <w:ind w:firstLine="720"/>
        <w:jc w:val="center"/>
        <w:outlineLvl w:val="2"/>
        <w:rPr>
          <w:b/>
          <w:sz w:val="26"/>
          <w:szCs w:val="26"/>
        </w:rPr>
      </w:pPr>
    </w:p>
    <w:tbl>
      <w:tblPr>
        <w:tblStyle w:val="a5"/>
        <w:tblW w:w="9369" w:type="dxa"/>
        <w:tblInd w:w="0" w:type="dxa"/>
        <w:tblLook w:val="04A0" w:firstRow="1" w:lastRow="0" w:firstColumn="1" w:lastColumn="0" w:noHBand="0" w:noVBand="1"/>
      </w:tblPr>
      <w:tblGrid>
        <w:gridCol w:w="1792"/>
        <w:gridCol w:w="4856"/>
        <w:gridCol w:w="2721"/>
      </w:tblGrid>
      <w:tr w:rsidR="009B3DEA" w:rsidRPr="00C42AE4" w:rsidTr="00AA07DE">
        <w:trPr>
          <w:trHeight w:val="416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Место</w:t>
            </w:r>
          </w:p>
        </w:tc>
      </w:tr>
      <w:tr w:rsidR="009B3DEA" w:rsidRPr="00C42AE4" w:rsidTr="00AA07DE">
        <w:trPr>
          <w:trHeight w:val="340"/>
        </w:trPr>
        <w:tc>
          <w:tcPr>
            <w:tcW w:w="9369" w:type="dxa"/>
            <w:gridSpan w:val="3"/>
          </w:tcPr>
          <w:p w:rsidR="009B3DEA" w:rsidRPr="00C42AE4" w:rsidRDefault="009B3DEA" w:rsidP="00AA07DE">
            <w:pPr>
              <w:outlineLvl w:val="2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 xml:space="preserve">                                                          28 мая</w:t>
            </w:r>
          </w:p>
        </w:tc>
      </w:tr>
      <w:tr w:rsidR="009B3DEA" w:rsidRPr="00C42AE4" w:rsidTr="00AA07DE">
        <w:trPr>
          <w:trHeight w:val="383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9.00 - 10.00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 xml:space="preserve">Заезд. Регистрация. 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 xml:space="preserve">1 этаж, фойе </w:t>
            </w:r>
          </w:p>
        </w:tc>
      </w:tr>
      <w:tr w:rsidR="009B3DEA" w:rsidRPr="00C42AE4" w:rsidTr="00AA07DE">
        <w:trPr>
          <w:trHeight w:val="489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10.00 – 10.30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Открытие форума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Актовый зал</w:t>
            </w:r>
          </w:p>
        </w:tc>
      </w:tr>
      <w:tr w:rsidR="009B3DEA" w:rsidRPr="00C42AE4" w:rsidTr="00AA07DE">
        <w:trPr>
          <w:trHeight w:val="640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10.30 - 11.30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Нетворкинг</w:t>
            </w:r>
            <w:proofErr w:type="spellEnd"/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Площадки по направлениям</w:t>
            </w:r>
          </w:p>
        </w:tc>
      </w:tr>
      <w:tr w:rsidR="009B3DEA" w:rsidRPr="00C42AE4" w:rsidTr="00AA07DE">
        <w:trPr>
          <w:trHeight w:val="640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11.30 - 11.50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Кофе-брейк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Холл 1 этажа</w:t>
            </w:r>
          </w:p>
        </w:tc>
      </w:tr>
      <w:tr w:rsidR="009B3DEA" w:rsidRPr="00C42AE4" w:rsidTr="00AA07DE">
        <w:trPr>
          <w:trHeight w:val="485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11.50 - 13.00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Образовательная программа по площадкам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Площадки по направлениям</w:t>
            </w:r>
          </w:p>
        </w:tc>
      </w:tr>
      <w:tr w:rsidR="009B3DEA" w:rsidRPr="00C42AE4" w:rsidTr="00AA07DE">
        <w:trPr>
          <w:trHeight w:val="313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13.00 - 13.40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Обед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Эдельвейс</w:t>
            </w:r>
          </w:p>
        </w:tc>
      </w:tr>
      <w:tr w:rsidR="009B3DEA" w:rsidRPr="00C42AE4" w:rsidTr="00AA07DE">
        <w:trPr>
          <w:trHeight w:val="416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13.40 - 15.</w:t>
            </w:r>
            <w:r>
              <w:rPr>
                <w:b/>
                <w:sz w:val="26"/>
                <w:szCs w:val="26"/>
              </w:rPr>
              <w:t>0</w:t>
            </w:r>
            <w:r w:rsidRPr="00C42AE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Образовательная программа по площадкам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Площадки по направлениям</w:t>
            </w:r>
          </w:p>
        </w:tc>
      </w:tr>
      <w:tr w:rsidR="009B3DEA" w:rsidRPr="00C42AE4" w:rsidTr="00AA07DE">
        <w:trPr>
          <w:trHeight w:val="328"/>
        </w:trPr>
        <w:tc>
          <w:tcPr>
            <w:tcW w:w="1792" w:type="dxa"/>
          </w:tcPr>
          <w:p w:rsidR="009B3DEA" w:rsidRPr="00C42AE4" w:rsidRDefault="009B3DEA" w:rsidP="00AA07DE">
            <w:pPr>
              <w:jc w:val="center"/>
              <w:rPr>
                <w:b/>
                <w:sz w:val="26"/>
                <w:szCs w:val="26"/>
              </w:rPr>
            </w:pPr>
            <w:r w:rsidRPr="00C42AE4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</w:rPr>
              <w:t>0</w:t>
            </w:r>
            <w:r w:rsidRPr="00C42AE4">
              <w:rPr>
                <w:b/>
                <w:sz w:val="26"/>
                <w:szCs w:val="26"/>
              </w:rPr>
              <w:t>0 - 1</w:t>
            </w:r>
            <w:r>
              <w:rPr>
                <w:b/>
                <w:sz w:val="26"/>
                <w:szCs w:val="26"/>
              </w:rPr>
              <w:t>5</w:t>
            </w:r>
            <w:r w:rsidRPr="00C42AE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</w:t>
            </w:r>
            <w:r w:rsidRPr="00C42AE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856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Подведение итогов. Закрытие форума</w:t>
            </w:r>
          </w:p>
        </w:tc>
        <w:tc>
          <w:tcPr>
            <w:tcW w:w="2721" w:type="dxa"/>
          </w:tcPr>
          <w:p w:rsidR="009B3DEA" w:rsidRPr="00C42AE4" w:rsidRDefault="009B3DEA" w:rsidP="00AA07DE">
            <w:pPr>
              <w:jc w:val="center"/>
              <w:rPr>
                <w:sz w:val="26"/>
                <w:szCs w:val="26"/>
              </w:rPr>
            </w:pPr>
            <w:r w:rsidRPr="00C42AE4">
              <w:rPr>
                <w:sz w:val="26"/>
                <w:szCs w:val="26"/>
              </w:rPr>
              <w:t>Актовый зал</w:t>
            </w:r>
          </w:p>
        </w:tc>
      </w:tr>
    </w:tbl>
    <w:p w:rsidR="009B3DEA" w:rsidRDefault="009B3DEA" w:rsidP="009B3DEA">
      <w:pPr>
        <w:rPr>
          <w:b/>
          <w:sz w:val="24"/>
          <w:szCs w:val="24"/>
        </w:rPr>
      </w:pPr>
    </w:p>
    <w:p w:rsidR="009B3DEA" w:rsidRDefault="009B3DEA" w:rsidP="009B3DEA">
      <w:pPr>
        <w:ind w:firstLine="709"/>
        <w:jc w:val="center"/>
        <w:rPr>
          <w:sz w:val="26"/>
          <w:szCs w:val="26"/>
        </w:rPr>
      </w:pPr>
    </w:p>
    <w:p w:rsidR="009B3DEA" w:rsidRDefault="009B3DEA" w:rsidP="009B3DE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Финансирование мероприятия </w:t>
      </w:r>
    </w:p>
    <w:p w:rsidR="009B3DEA" w:rsidRDefault="009B3DEA" w:rsidP="009B3DEA">
      <w:pPr>
        <w:ind w:firstLine="709"/>
        <w:jc w:val="center"/>
        <w:rPr>
          <w:sz w:val="26"/>
          <w:szCs w:val="26"/>
        </w:rPr>
      </w:pPr>
    </w:p>
    <w:p w:rsidR="009B3DEA" w:rsidRDefault="009B3DEA" w:rsidP="009B3D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Расходы по организации Форума несет МАУ НР «КМЦ «Перспектива» в рамках реализации «Программы развития и поддержки институтов гражданского общества в Нефтеюганском районе «Неравнодушный Район».</w:t>
      </w:r>
    </w:p>
    <w:p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7.2. Транспортные расходы, расходы на питание за счет направляющей стороны. </w:t>
      </w:r>
    </w:p>
    <w:p w:rsidR="009B3DEA" w:rsidRDefault="009B3DEA" w:rsidP="009B3DEA">
      <w:pPr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B3DEA" w:rsidRDefault="009B3DEA" w:rsidP="009B3DEA">
      <w:pPr>
        <w:widowControl/>
        <w:autoSpaceDE/>
        <w:autoSpaceDN/>
        <w:adjustRightInd/>
        <w:rPr>
          <w:sz w:val="26"/>
          <w:szCs w:val="26"/>
        </w:rPr>
        <w:sectPr w:rsidR="009B3DEA">
          <w:pgSz w:w="11909" w:h="16834"/>
          <w:pgMar w:top="1134" w:right="850" w:bottom="1134" w:left="1701" w:header="720" w:footer="720" w:gutter="0"/>
          <w:cols w:space="720"/>
        </w:sectPr>
      </w:pPr>
    </w:p>
    <w:p w:rsidR="009B3DEA" w:rsidRDefault="009B3DEA" w:rsidP="009B3DEA">
      <w:pPr>
        <w:ind w:left="708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 1</w:t>
      </w:r>
    </w:p>
    <w:p w:rsidR="009B3DEA" w:rsidRDefault="009B3DEA" w:rsidP="009B3DE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к Положению</w:t>
      </w:r>
    </w:p>
    <w:p w:rsidR="009B3DEA" w:rsidRDefault="009B3DEA" w:rsidP="009B3DEA">
      <w:pPr>
        <w:ind w:left="7080"/>
        <w:rPr>
          <w:sz w:val="26"/>
          <w:szCs w:val="26"/>
        </w:rPr>
      </w:pPr>
    </w:p>
    <w:p w:rsidR="009B3DEA" w:rsidRDefault="009B3DEA" w:rsidP="009B3DEA">
      <w:pPr>
        <w:jc w:val="center"/>
        <w:rPr>
          <w:sz w:val="26"/>
          <w:szCs w:val="26"/>
        </w:rPr>
      </w:pPr>
      <w:r>
        <w:rPr>
          <w:sz w:val="26"/>
          <w:szCs w:val="26"/>
        </w:rPr>
        <w:t>Квота участников от поселений Нефтеюганского района</w:t>
      </w:r>
    </w:p>
    <w:p w:rsidR="009B3DEA" w:rsidRDefault="009B3DEA" w:rsidP="009B3DEA">
      <w:pPr>
        <w:ind w:left="7080"/>
        <w:rPr>
          <w:sz w:val="26"/>
          <w:szCs w:val="26"/>
        </w:rPr>
      </w:pPr>
    </w:p>
    <w:tbl>
      <w:tblPr>
        <w:tblStyle w:val="a5"/>
        <w:tblW w:w="14709" w:type="dxa"/>
        <w:tblInd w:w="0" w:type="dxa"/>
        <w:tblLook w:val="04A0" w:firstRow="1" w:lastRow="0" w:firstColumn="1" w:lastColumn="0" w:noHBand="0" w:noVBand="1"/>
      </w:tblPr>
      <w:tblGrid>
        <w:gridCol w:w="2802"/>
        <w:gridCol w:w="1701"/>
        <w:gridCol w:w="1984"/>
        <w:gridCol w:w="1843"/>
        <w:gridCol w:w="2410"/>
        <w:gridCol w:w="1842"/>
        <w:gridCol w:w="2127"/>
      </w:tblGrid>
      <w:tr w:rsidR="009B3DEA" w:rsidTr="009B3DEA">
        <w:trPr>
          <w:trHeight w:val="21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Серебряное волонтерство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Креативное сообщество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Инициативное бюджетирование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Работа с молодыми лидерами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Количество участников</w:t>
            </w:r>
          </w:p>
        </w:tc>
      </w:tr>
      <w:tr w:rsidR="009B3DEA" w:rsidTr="009B3DEA">
        <w:trPr>
          <w:trHeight w:val="3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Пойковский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16</w:t>
            </w:r>
          </w:p>
        </w:tc>
      </w:tr>
      <w:tr w:rsidR="009B3DEA" w:rsidTr="009B3DEA">
        <w:trPr>
          <w:trHeight w:val="3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>
              <w:rPr>
                <w:rFonts w:cs="Calibri"/>
                <w:sz w:val="26"/>
                <w:szCs w:val="26"/>
              </w:rPr>
              <w:t>Салым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</w:tr>
      <w:tr w:rsidR="009B3DEA" w:rsidTr="009B3DEA">
        <w:trPr>
          <w:trHeight w:val="3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proofErr w:type="gramStart"/>
            <w:r>
              <w:rPr>
                <w:rFonts w:cs="Calibri"/>
                <w:sz w:val="26"/>
                <w:szCs w:val="26"/>
              </w:rPr>
              <w:t>Куть-Ях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9B3DEA" w:rsidTr="009B3DEA">
        <w:trPr>
          <w:trHeight w:val="3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Сентябрьский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9B3DEA" w:rsidTr="009B3DEA">
        <w:trPr>
          <w:trHeight w:val="3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>
              <w:rPr>
                <w:rFonts w:cs="Calibri"/>
                <w:sz w:val="26"/>
                <w:szCs w:val="26"/>
              </w:rPr>
              <w:t>Сингапай</w:t>
            </w:r>
            <w:proofErr w:type="spellEnd"/>
            <w:r>
              <w:rPr>
                <w:rFonts w:cs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Calibri"/>
                <w:sz w:val="26"/>
                <w:szCs w:val="26"/>
              </w:rPr>
              <w:t>Чеускино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</w:tr>
      <w:tr w:rsidR="009B3DEA" w:rsidTr="009B3DEA">
        <w:trPr>
          <w:trHeight w:val="3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>
              <w:rPr>
                <w:rFonts w:cs="Calibri"/>
                <w:sz w:val="26"/>
                <w:szCs w:val="26"/>
              </w:rPr>
              <w:t>Каркатеевы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9B3DEA" w:rsidTr="009B3DEA">
        <w:trPr>
          <w:trHeight w:val="3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>
              <w:rPr>
                <w:rFonts w:cs="Calibri"/>
                <w:sz w:val="26"/>
                <w:szCs w:val="26"/>
              </w:rPr>
              <w:t>Лемпино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5</w:t>
            </w:r>
          </w:p>
        </w:tc>
      </w:tr>
      <w:tr w:rsidR="009B3DEA" w:rsidTr="009B3DEA">
        <w:trPr>
          <w:trHeight w:val="3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proofErr w:type="spellStart"/>
            <w:r>
              <w:rPr>
                <w:rFonts w:cs="Calibri"/>
                <w:sz w:val="26"/>
                <w:szCs w:val="26"/>
              </w:rPr>
              <w:t>Усть-Юган</w:t>
            </w:r>
            <w:proofErr w:type="spellEnd"/>
            <w:r>
              <w:rPr>
                <w:rFonts w:cs="Calibri"/>
                <w:sz w:val="26"/>
                <w:szCs w:val="26"/>
              </w:rPr>
              <w:t>, Юганская Обь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</w:tr>
      <w:tr w:rsidR="009B3DEA" w:rsidTr="009B3DEA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both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60</w:t>
            </w:r>
          </w:p>
        </w:tc>
      </w:tr>
    </w:tbl>
    <w:p w:rsidR="009B3DEA" w:rsidRDefault="009B3DEA" w:rsidP="009B3DEA">
      <w:pPr>
        <w:rPr>
          <w:sz w:val="26"/>
          <w:szCs w:val="26"/>
        </w:rPr>
      </w:pPr>
    </w:p>
    <w:p w:rsidR="009B3DEA" w:rsidRDefault="009B3DEA" w:rsidP="009B3DEA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Изменения квоты согласовывается с Организаторами.</w:t>
      </w:r>
    </w:p>
    <w:p w:rsidR="009B3DEA" w:rsidRDefault="009B3DEA" w:rsidP="009B3DEA">
      <w:pPr>
        <w:ind w:left="7080"/>
        <w:rPr>
          <w:sz w:val="26"/>
          <w:szCs w:val="26"/>
        </w:rPr>
      </w:pPr>
    </w:p>
    <w:p w:rsidR="009B3DEA" w:rsidRDefault="009B3DEA" w:rsidP="009B3DEA">
      <w:pPr>
        <w:ind w:left="7080"/>
        <w:rPr>
          <w:sz w:val="26"/>
          <w:szCs w:val="26"/>
        </w:rPr>
      </w:pPr>
    </w:p>
    <w:p w:rsidR="009B3DEA" w:rsidRDefault="009B3DEA" w:rsidP="009B3DEA">
      <w:pPr>
        <w:widowControl/>
        <w:autoSpaceDE/>
        <w:autoSpaceDN/>
        <w:adjustRightInd/>
        <w:rPr>
          <w:sz w:val="26"/>
          <w:szCs w:val="26"/>
        </w:rPr>
        <w:sectPr w:rsidR="009B3DEA">
          <w:pgSz w:w="16834" w:h="11909" w:orient="landscape"/>
          <w:pgMar w:top="1701" w:right="1134" w:bottom="851" w:left="1134" w:header="720" w:footer="720" w:gutter="0"/>
          <w:cols w:space="720"/>
        </w:sectPr>
      </w:pPr>
    </w:p>
    <w:p w:rsidR="009B3DEA" w:rsidRDefault="009B3DEA" w:rsidP="009B3DE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9B3DEA" w:rsidRDefault="009B3DEA" w:rsidP="009B3DE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к Положению</w:t>
      </w:r>
    </w:p>
    <w:p w:rsidR="009B3DEA" w:rsidRDefault="009B3DEA" w:rsidP="009B3DEA">
      <w:pPr>
        <w:jc w:val="right"/>
        <w:rPr>
          <w:sz w:val="26"/>
          <w:szCs w:val="26"/>
        </w:rPr>
      </w:pPr>
    </w:p>
    <w:p w:rsidR="009B3DEA" w:rsidRDefault="009B3DEA" w:rsidP="009B3DEA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Заявка на участие в муниципальном Форуме инициатив «Неравнодушный район»</w:t>
      </w:r>
    </w:p>
    <w:p w:rsidR="009B3DEA" w:rsidRDefault="009B3DEA" w:rsidP="009B3DEA">
      <w:pPr>
        <w:jc w:val="center"/>
        <w:rPr>
          <w:sz w:val="26"/>
          <w:szCs w:val="26"/>
        </w:rPr>
      </w:pPr>
    </w:p>
    <w:tbl>
      <w:tblPr>
        <w:tblStyle w:val="TableNormal"/>
        <w:tblW w:w="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9B3DEA" w:rsidTr="009B3DEA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Поселение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ФИО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 xml:space="preserve">Серия и номер документа, удостоверяющего личность, кем и 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6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Место работы, должность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Направление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b/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9B3DEA" w:rsidTr="009B3DEA">
        <w:trPr>
          <w:trHeight w:val="1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 w:rsidP="00AA07DE">
            <w:pPr>
              <w:pStyle w:val="a4"/>
              <w:widowControl/>
              <w:numPr>
                <w:ilvl w:val="0"/>
                <w:numId w:val="2"/>
              </w:numPr>
              <w:autoSpaceDE/>
              <w:adjustRightInd/>
              <w:ind w:left="459"/>
              <w:contextualSpacing/>
              <w:jc w:val="center"/>
              <w:rPr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Ссылка на ВК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3DEA" w:rsidRDefault="009B3DEA">
            <w:pPr>
              <w:rPr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9B3DEA" w:rsidRDefault="009B3DEA" w:rsidP="009B3DEA">
      <w:pPr>
        <w:outlineLvl w:val="0"/>
        <w:rPr>
          <w:lang w:val="en-US"/>
        </w:rPr>
      </w:pPr>
    </w:p>
    <w:p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</w:p>
    <w:p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  <w:r>
        <w:rPr>
          <w:rFonts w:cs="Calibri"/>
          <w:b/>
          <w:sz w:val="28"/>
          <w:szCs w:val="26"/>
        </w:rPr>
        <w:t>Заявка от руководителя делегации</w:t>
      </w:r>
    </w:p>
    <w:p w:rsidR="009B3DEA" w:rsidRDefault="009B3DEA" w:rsidP="009B3DEA">
      <w:pPr>
        <w:autoSpaceDE/>
        <w:spacing w:after="200" w:line="276" w:lineRule="auto"/>
        <w:jc w:val="center"/>
        <w:rPr>
          <w:rFonts w:cs="Calibri"/>
          <w:b/>
          <w:sz w:val="28"/>
          <w:szCs w:val="26"/>
        </w:rPr>
      </w:pPr>
      <w:r>
        <w:rPr>
          <w:rFonts w:cs="Calibri"/>
          <w:b/>
          <w:sz w:val="28"/>
          <w:szCs w:val="26"/>
        </w:rPr>
        <w:t>Поселение____________________________________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79"/>
        <w:gridCol w:w="2325"/>
        <w:gridCol w:w="2269"/>
        <w:gridCol w:w="2372"/>
      </w:tblGrid>
      <w:tr w:rsidR="009B3DEA" w:rsidTr="009B3DEA">
        <w:trPr>
          <w:trHeight w:val="1132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Количество участников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ФИО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Данные о транспортировке участника. Прибытие на Форум</w:t>
            </w:r>
          </w:p>
        </w:tc>
      </w:tr>
      <w:tr w:rsidR="009B3DEA" w:rsidTr="009B3DEA">
        <w:trPr>
          <w:trHeight w:val="49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СО НКО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:rsidTr="009B3DE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Серебряное волонтерское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:rsidTr="009B3DEA">
        <w:trPr>
          <w:trHeight w:val="18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Креативное сообщество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:rsidTr="009B3DE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Инициативное бюджетирование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  <w:tr w:rsidR="009B3DEA" w:rsidTr="009B3DE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EA" w:rsidRDefault="009B3DEA">
            <w:pPr>
              <w:autoSpaceDE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Работа с молодыми лидерами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A" w:rsidRDefault="009B3DEA">
            <w:pPr>
              <w:autoSpaceDE/>
              <w:rPr>
                <w:rFonts w:cs="Calibri"/>
                <w:sz w:val="26"/>
                <w:szCs w:val="26"/>
              </w:rPr>
            </w:pPr>
          </w:p>
        </w:tc>
      </w:tr>
    </w:tbl>
    <w:p w:rsidR="009B3DEA" w:rsidRDefault="009B3DEA" w:rsidP="009B3DEA">
      <w:pPr>
        <w:autoSpaceDE/>
        <w:spacing w:after="200" w:line="276" w:lineRule="auto"/>
        <w:rPr>
          <w:sz w:val="26"/>
          <w:szCs w:val="26"/>
        </w:rPr>
      </w:pPr>
    </w:p>
    <w:p w:rsidR="00B847E3" w:rsidRDefault="009B3DEA"/>
    <w:sectPr w:rsidR="00B8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914"/>
    <w:multiLevelType w:val="hybridMultilevel"/>
    <w:tmpl w:val="5BA2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47EDB"/>
    <w:multiLevelType w:val="hybridMultilevel"/>
    <w:tmpl w:val="B0DC7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CE"/>
    <w:rsid w:val="002C49CE"/>
    <w:rsid w:val="0071688E"/>
    <w:rsid w:val="009B3DEA"/>
    <w:rsid w:val="00E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EDC2B-F76C-4F2C-A823-C6521D02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3D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3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DEA"/>
    <w:rPr>
      <w:rFonts w:ascii="Courier New" w:eastAsia="Calibri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3DEA"/>
    <w:pPr>
      <w:ind w:left="708"/>
    </w:pPr>
  </w:style>
  <w:style w:type="table" w:styleId="a5">
    <w:name w:val="Table Grid"/>
    <w:basedOn w:val="a1"/>
    <w:uiPriority w:val="39"/>
    <w:rsid w:val="009B3DE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B3DE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dejn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5616</Characters>
  <Application>Microsoft Office Word</Application>
  <DocSecurity>0</DocSecurity>
  <Lines>46</Lines>
  <Paragraphs>13</Paragraphs>
  <ScaleCrop>false</ScaleCrop>
  <Company>HP</Company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Агата Голикова</dc:creator>
  <cp:keywords/>
  <dc:description/>
  <cp:lastModifiedBy>Агата Голикова</cp:lastModifiedBy>
  <cp:revision>2</cp:revision>
  <dcterms:created xsi:type="dcterms:W3CDTF">2022-05-24T12:52:00Z</dcterms:created>
  <dcterms:modified xsi:type="dcterms:W3CDTF">2022-05-24T12:54:00Z</dcterms:modified>
</cp:coreProperties>
</file>