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Публичное акционерное общество «Ростелеком»</w:t>
      </w:r>
    </w:p>
    <w:p w14:paraId="0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"https://www.portal.rt.ru/wps/myportal/Home/company/orgstructure?parentOrgId=1828"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Блок организационного развития и управления персоналом</w:t>
      </w:r>
      <w:r>
        <w:rPr>
          <w:rFonts w:ascii="Times New Roman" w:hAnsi="Times New Roman"/>
          <w:color w:val="000000"/>
          <w:sz w:val="28"/>
        </w:rPr>
        <w:fldChar w:fldCharType="end"/>
      </w:r>
    </w:p>
    <w:p w14:paraId="10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"https://www.portal.rt.ru/wps/myportal/Home/company/orgstructure?parentOrgId=175841"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Центр компетенций по организационному развитию и управлению персоналом</w:t>
      </w:r>
      <w:r>
        <w:rPr>
          <w:rFonts w:ascii="Times New Roman" w:hAnsi="Times New Roman"/>
          <w:color w:val="000000"/>
          <w:sz w:val="28"/>
        </w:rPr>
        <w:fldChar w:fldCharType="end"/>
      </w:r>
    </w:p>
    <w:p w14:paraId="11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436"/>
        <w:gridCol w:w="4918"/>
      </w:tblGrid>
      <w:tr>
        <w:tc>
          <w:tcPr>
            <w:tcW w:type="dxa" w:w="44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6000000">
            <w:pPr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B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Практика:</w:t>
      </w:r>
    </w:p>
    <w:p w14:paraId="1C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Наставничество новых работников в ПАО «Ростелеком»</w:t>
      </w:r>
    </w:p>
    <w:p w14:paraId="1D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1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20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21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22000000">
      <w:pPr>
        <w:widowControl w:val="1"/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</w:p>
    <w:p w14:paraId="23000000">
      <w:pPr>
        <w:widowControl w:val="1"/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</w:p>
    <w:p w14:paraId="24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Автор</w:t>
      </w:r>
      <w:r>
        <w:rPr>
          <w:rFonts w:ascii="Times New Roman" w:hAnsi="Times New Roman"/>
          <w:color w:val="000000"/>
          <w:sz w:val="28"/>
        </w:rPr>
        <w:t>ы:</w:t>
      </w:r>
    </w:p>
    <w:p w14:paraId="25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Солодовников Игорь Васильевич</w:t>
      </w:r>
    </w:p>
    <w:p w14:paraId="26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Бурнаев Дмитрий Александрович</w:t>
      </w:r>
    </w:p>
    <w:p w14:paraId="27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Капитонова Екатерина Олеговна</w:t>
      </w:r>
    </w:p>
    <w:p w14:paraId="28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Денисов Алексей Витальевич </w:t>
      </w:r>
    </w:p>
    <w:p w14:paraId="29000000">
      <w:pPr>
        <w:widowControl w:val="1"/>
        <w:spacing w:after="0" w:line="240" w:lineRule="auto"/>
        <w:ind w:left="4962"/>
        <w:contextualSpacing w:val="1"/>
        <w:rPr>
          <w:rFonts w:ascii="Times New Roman" w:hAnsi="Times New Roman"/>
          <w:color w:val="000000"/>
          <w:sz w:val="28"/>
        </w:rPr>
      </w:pPr>
    </w:p>
    <w:p w14:paraId="2A000000">
      <w:pPr>
        <w:widowControl w:val="1"/>
        <w:spacing w:after="0" w:line="240" w:lineRule="auto"/>
        <w:ind w:left="5954"/>
        <w:contextualSpacing w:val="1"/>
        <w:rPr>
          <w:rFonts w:ascii="Times New Roman" w:hAnsi="Times New Roman"/>
          <w:color w:val="000000"/>
          <w:sz w:val="28"/>
        </w:rPr>
      </w:pPr>
    </w:p>
    <w:p w14:paraId="2B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2C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2D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2E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2F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0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1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7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8000000">
      <w:pPr>
        <w:widowControl w:val="1"/>
        <w:spacing w:afterAutospacing="on" w:beforeAutospacing="on" w:line="240" w:lineRule="auto"/>
        <w:ind/>
        <w:contextualSpacing w:val="1"/>
        <w:jc w:val="both"/>
        <w:outlineLvl w:val="1"/>
        <w:rPr>
          <w:rFonts w:ascii="Times New Roman" w:hAnsi="Times New Roman"/>
          <w:b w:val="1"/>
          <w:sz w:val="28"/>
        </w:rPr>
      </w:pPr>
    </w:p>
    <w:p w14:paraId="3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Москва, 2025 </w:t>
      </w:r>
    </w:p>
    <w:p w14:paraId="3A000000">
      <w:pPr>
        <w:sectPr>
          <w:footerReference r:id="rId2" w:type="defaul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3B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</w:t>
      </w:r>
    </w:p>
    <w:p>
      <w:pPr>
        <w:pStyle w:val="Style_3"/>
        <w:tabs>
          <w:tab w:leader="dot" w:pos="9354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 xml:space="preserve">TOC \h \z \u \o "1-3"</w:instrText>
      </w:r>
      <w:r>
        <w:rPr>
          <w:b w:val="1"/>
        </w:rPr>
        <w:fldChar w:fldCharType="separate"/>
      </w:r>
      <w:r>
        <w:rPr>
          <w:b w:val="1"/>
        </w:rPr>
        <w:fldChar w:fldCharType="begin"/>
      </w:r>
      <w:r>
        <w:rPr>
          <w:b w:val="1"/>
        </w:rPr>
        <w:instrText>HYPERLINK \l "__RefHeading___1"</w:instrText>
      </w:r>
      <w:r>
        <w:rPr>
          <w:b w:val="1"/>
        </w:rPr>
        <w:fldChar w:fldCharType="separate"/>
      </w:r>
      <w:r>
        <w:rPr>
          <w:b w:val="1"/>
        </w:rPr>
        <w:t>Введение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rPr>
          <w:b w:val="1"/>
        </w:rPr>
        <w:fldChar w:fldCharType="end"/>
      </w:r>
    </w:p>
    <w:p w14:paraId="3D000000">
      <w:pPr>
        <w:pStyle w:val="Style_3"/>
        <w:tabs>
          <w:tab w:leader="dot" w:pos="9354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"__RefHeading___2"</w:instrText>
      </w:r>
      <w:r>
        <w:rPr>
          <w:b w:val="1"/>
        </w:rPr>
        <w:fldChar w:fldCharType="separate"/>
      </w:r>
      <w:r>
        <w:rPr>
          <w:b w:val="1"/>
        </w:rPr>
        <w:t xml:space="preserve">1. </w:t>
      </w:r>
      <w:r>
        <w:rPr>
          <w:b w:val="1"/>
        </w:rPr>
        <w:t xml:space="preserve">Уникальность и </w:t>
      </w:r>
      <w:r>
        <w:rPr>
          <w:b w:val="1"/>
        </w:rPr>
        <w:t>инновационность</w:t>
      </w:r>
      <w:r>
        <w:rPr>
          <w:b w:val="1"/>
        </w:rPr>
        <w:t xml:space="preserve"> практики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4</w:t>
      </w:r>
      <w:r>
        <w:fldChar w:fldCharType="end"/>
      </w:r>
      <w:r>
        <w:rPr>
          <w:b w:val="1"/>
        </w:rPr>
        <w:fldChar w:fldCharType="end"/>
      </w:r>
    </w:p>
    <w:p w14:paraId="3E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1.1. Юридически оформленная роль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1.2. Гибридная модель обучения наставников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1.3. Цифровая платформа управления наставничеством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1.4. Комплексная мотивационная модель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000000">
      <w:pPr>
        <w:pStyle w:val="Style_3"/>
        <w:tabs>
          <w:tab w:leader="dot" w:pos="9354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"__RefHeading___7"</w:instrText>
      </w:r>
      <w:r>
        <w:rPr>
          <w:b w:val="1"/>
        </w:rPr>
        <w:fldChar w:fldCharType="separate"/>
      </w:r>
      <w:r>
        <w:rPr>
          <w:b w:val="1"/>
        </w:rPr>
        <w:t xml:space="preserve">2. Практика </w:t>
      </w:r>
      <w:r>
        <w:rPr>
          <w:b w:val="1"/>
        </w:rPr>
        <w:t>тиражируемости</w:t>
      </w:r>
      <w:r>
        <w:rPr>
          <w:b w:val="1"/>
        </w:rPr>
        <w:t xml:space="preserve"> (масштабируемости)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6</w:t>
      </w:r>
      <w:r>
        <w:fldChar w:fldCharType="end"/>
      </w:r>
      <w:r>
        <w:rPr>
          <w:b w:val="1"/>
        </w:rPr>
        <w:fldChar w:fldCharType="end"/>
      </w:r>
    </w:p>
    <w:p w14:paraId="43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2.1. Гибкость под сегменты и позиции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2.2. Цифровая основа как залог масштабирования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2.3. Возможность внедрения в других организациях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000000">
      <w:pPr>
        <w:pStyle w:val="Style_3"/>
        <w:tabs>
          <w:tab w:leader="dot" w:pos="9354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"__RefHeading___11"</w:instrText>
      </w:r>
      <w:r>
        <w:rPr>
          <w:b w:val="1"/>
        </w:rPr>
        <w:fldChar w:fldCharType="separate"/>
      </w:r>
      <w:r>
        <w:rPr>
          <w:b w:val="1"/>
        </w:rPr>
        <w:t>3. Результативность и системность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8</w:t>
      </w:r>
      <w:r>
        <w:fldChar w:fldCharType="end"/>
      </w:r>
      <w:r>
        <w:rPr>
          <w:b w:val="1"/>
        </w:rPr>
        <w:fldChar w:fldCharType="end"/>
      </w:r>
    </w:p>
    <w:p w14:paraId="47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3.1. Количественные результаты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3.2. Качественные эффекты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000000">
      <w:pPr>
        <w:pStyle w:val="Style_4"/>
        <w:tabs>
          <w:tab w:leader="dot" w:pos="9354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3.3. Системность подхода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000000">
      <w:pPr>
        <w:pStyle w:val="Style_3"/>
        <w:tabs>
          <w:tab w:leader="dot" w:pos="9354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"__RefHeading___15"</w:instrText>
      </w:r>
      <w:r>
        <w:rPr>
          <w:b w:val="1"/>
        </w:rPr>
        <w:fldChar w:fldCharType="separate"/>
      </w:r>
      <w:r>
        <w:rPr>
          <w:b w:val="1"/>
        </w:rPr>
        <w:t>Заключение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10</w:t>
      </w:r>
      <w:r>
        <w:fldChar w:fldCharType="end"/>
      </w:r>
      <w:r>
        <w:rPr>
          <w:b w:val="1"/>
        </w:rPr>
        <w:fldChar w:fldCharType="end"/>
      </w:r>
    </w:p>
    <w:p w14:paraId="4C000000">
      <w:pPr>
        <w:widowControl w:val="1"/>
        <w:ind w:right="424"/>
        <w:rPr>
          <w:rFonts w:ascii="Times New Roman" w:hAnsi="Times New Roman"/>
          <w:b w:val="1"/>
          <w:sz w:val="28"/>
        </w:rPr>
      </w:pPr>
      <w:r>
        <w:fldChar w:fldCharType="end"/>
      </w:r>
      <w:bookmarkStart w:id="1" w:name="_GoBack"/>
      <w:bookmarkEnd w:id="1"/>
    </w:p>
    <w:p w14:paraId="4D000000">
      <w:pPr>
        <w:pStyle w:val="Style_5"/>
        <w:rPr>
          <w:rFonts w:ascii="Times New Roman" w:hAnsi="Times New Roman"/>
          <w:sz w:val="28"/>
        </w:rPr>
      </w:pPr>
    </w:p>
    <w:p w14:paraId="4E000000">
      <w:pPr>
        <w:rPr>
          <w:rFonts w:ascii="Times New Roman" w:hAnsi="Times New Roman"/>
          <w:sz w:val="28"/>
        </w:rPr>
      </w:pPr>
    </w:p>
    <w:p w14:paraId="4F000000">
      <w:pPr>
        <w:rPr>
          <w:rFonts w:ascii="Times New Roman" w:hAnsi="Times New Roman"/>
          <w:sz w:val="28"/>
        </w:rPr>
      </w:pPr>
    </w:p>
    <w:p w14:paraId="50000000">
      <w:pPr>
        <w:rPr>
          <w:rFonts w:ascii="Times New Roman" w:hAnsi="Times New Roman"/>
          <w:sz w:val="28"/>
        </w:rPr>
      </w:pPr>
    </w:p>
    <w:p w14:paraId="51000000">
      <w:pPr>
        <w:rPr>
          <w:rFonts w:ascii="Times New Roman" w:hAnsi="Times New Roman"/>
          <w:sz w:val="28"/>
        </w:rPr>
      </w:pPr>
    </w:p>
    <w:p w14:paraId="52000000">
      <w:pPr>
        <w:rPr>
          <w:rFonts w:ascii="Times New Roman" w:hAnsi="Times New Roman"/>
          <w:sz w:val="28"/>
        </w:rPr>
      </w:pPr>
    </w:p>
    <w:p w14:paraId="53000000">
      <w:pPr>
        <w:pStyle w:val="Style_5"/>
        <w:widowControl w:val="1"/>
        <w:ind w:firstLine="708"/>
        <w:rPr>
          <w:rFonts w:ascii="Times New Roman" w:hAnsi="Times New Roman"/>
          <w:sz w:val="28"/>
        </w:rPr>
      </w:pPr>
    </w:p>
    <w:p w14:paraId="54000000">
      <w:pPr>
        <w:pStyle w:val="Style_5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5000000">
      <w:bookmarkStart w:id="2" w:name="__RefHeading___1"/>
      <w:bookmarkEnd w:id="2"/>
      <w:pPr>
        <w:pStyle w:val="Style_5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Введение</w:t>
      </w:r>
    </w:p>
    <w:p w14:paraId="56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условиях высокой конкуренции на рынке труда и стремительных темпов цифровой трансформации бизнеса особую актуальность приобретает эффективная адаптация новых сотрудников. Согласно внешнему исследованию компании, до запуска программы наставничества отток новичков в период испытательного срока достигал 30%, а срок выхода на продуктивность составлял в среднем 4–6 месяцев. Эти цифры свидетельствуют о системных проблемах: отсутствии структурированной адаптации, низкой прозрачности кадровых процессов и недостаточной мотивации опытных сотрудников к участию в развитии новых коллег.</w:t>
      </w:r>
    </w:p>
    <w:p w14:paraId="57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январе 2025 года в ПАО «Ростелеком» стартовал пилотный этап корпоративной программы наставничества, направленный на решение этих вызовов. Программа была разработана с учетом лучших HR-практик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адаптирована под специфику массовых должностей и распределенных рабочих мест. Уже по итогам пилота (июнь 2025 г.) удалось добиться впечатляющих результатов: удержание новичков с наставником выросло до 76% (против 30</w:t>
      </w:r>
      <w:r>
        <w:rPr>
          <w:rFonts w:ascii="Times New Roman" w:hAnsi="Times New Roman"/>
          <w:sz w:val="28"/>
        </w:rPr>
        <w:t>% без наставника), а количество</w:t>
      </w:r>
      <w:r>
        <w:rPr>
          <w:rFonts w:ascii="Times New Roman" w:hAnsi="Times New Roman"/>
          <w:sz w:val="28"/>
        </w:rPr>
        <w:t xml:space="preserve"> увольнений</w:t>
      </w:r>
      <w:r>
        <w:rPr>
          <w:rFonts w:ascii="Times New Roman" w:hAnsi="Times New Roman"/>
          <w:sz w:val="28"/>
        </w:rPr>
        <w:t xml:space="preserve"> новичков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наставником </w:t>
      </w:r>
      <w:r>
        <w:rPr>
          <w:rFonts w:ascii="Times New Roman" w:hAnsi="Times New Roman"/>
          <w:sz w:val="28"/>
        </w:rPr>
        <w:t xml:space="preserve">сократилось втрое. Экономический эффект составил 3,9 млн рублей за счет снижения затрат на </w:t>
      </w:r>
      <w:r>
        <w:rPr>
          <w:rFonts w:ascii="Times New Roman" w:hAnsi="Times New Roman"/>
          <w:sz w:val="28"/>
        </w:rPr>
        <w:t>подбор</w:t>
      </w:r>
      <w:r>
        <w:rPr>
          <w:rFonts w:ascii="Times New Roman" w:hAnsi="Times New Roman"/>
          <w:sz w:val="28"/>
        </w:rPr>
        <w:t>.</w:t>
      </w:r>
    </w:p>
    <w:p w14:paraId="58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конкурсная работа представляет собой описание системной, масштабируемой и инновационной модели наставничества, сочетающей четкие процессы управления, цифровую автоматизацию, гибкую мотивацию и вовлечение сотрудников через развитие корпоративного сообщества. Практика уникальна тем, что сочетание операционной эффективности, развития человеческого капитала и цифровых технологий обеспечивает устойчивый результат как для бизнеса, так и для сотрудников.</w:t>
      </w:r>
    </w:p>
    <w:p w14:paraId="59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5A00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5B000000">
      <w:pPr>
        <w:sectPr>
          <w:footerReference r:id="rId6" w:type="default"/>
          <w:pgSz w:h="16838" w:orient="portrait" w:w="11906"/>
          <w:pgMar w:bottom="1134" w:footer="709" w:gutter="0" w:header="709" w:left="1701" w:right="851" w:top="1134"/>
        </w:sectPr>
      </w:pPr>
    </w:p>
    <w:p w14:paraId="5C000000">
      <w:bookmarkStart w:id="3" w:name="__RefHeading___2"/>
      <w:bookmarkEnd w:id="3"/>
      <w:pPr>
        <w:pStyle w:val="Style_5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1. </w:t>
      </w:r>
      <w:r>
        <w:rPr>
          <w:rFonts w:ascii="Times New Roman" w:hAnsi="Times New Roman"/>
          <w:b w:val="1"/>
          <w:sz w:val="28"/>
        </w:rPr>
        <w:t xml:space="preserve">Уникальность и </w:t>
      </w:r>
      <w:r>
        <w:rPr>
          <w:rFonts w:ascii="Times New Roman" w:hAnsi="Times New Roman"/>
          <w:b w:val="1"/>
          <w:sz w:val="28"/>
        </w:rPr>
        <w:t>инновационность</w:t>
      </w:r>
      <w:r>
        <w:rPr>
          <w:rFonts w:ascii="Times New Roman" w:hAnsi="Times New Roman"/>
          <w:b w:val="1"/>
          <w:sz w:val="28"/>
        </w:rPr>
        <w:t xml:space="preserve"> практики</w:t>
      </w:r>
    </w:p>
    <w:p w14:paraId="5D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наставничества в ПАО «Ростелеком» выгодно выделяется на фоне традиционных подходов к адаптации новичков благодаря своей интегрированной архитектуре, сочетающей юридическую легитимность, цифровую автоматизацию, гибкую мотивационную модель и элементы общественных практик.</w:t>
      </w:r>
    </w:p>
    <w:p w14:paraId="5E000000">
      <w:bookmarkStart w:id="4" w:name="__RefHeading___3"/>
      <w:bookmarkEnd w:id="4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1.1. Юридически оформленная роль</w:t>
      </w:r>
    </w:p>
    <w:p w14:paraId="5F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решений стало введение дополнительного соглашения к трудовому договору с наставником в соответствии с требованиями Федерального закона №381-ФЗ. Это не просто формальность: такой подход </w:t>
      </w:r>
      <w:r>
        <w:rPr>
          <w:rFonts w:ascii="Times New Roman" w:hAnsi="Times New Roman"/>
          <w:sz w:val="28"/>
        </w:rPr>
        <w:t>легитимизирует</w:t>
      </w:r>
      <w:r>
        <w:rPr>
          <w:rFonts w:ascii="Times New Roman" w:hAnsi="Times New Roman"/>
          <w:sz w:val="28"/>
        </w:rPr>
        <w:t xml:space="preserve"> роль наставника как часть трудовых обязанностей, обеспечивает прозрачность вознаграждения и защиту интересов наставников.</w:t>
      </w:r>
    </w:p>
    <w:p w14:paraId="60000000">
      <w:bookmarkStart w:id="5" w:name="__RefHeading___4"/>
      <w:bookmarkEnd w:id="5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1.2. Гибридная модель обучения наставников</w:t>
      </w:r>
    </w:p>
    <w:p w14:paraId="61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предусматривает два уровня обучения:</w:t>
      </w:r>
    </w:p>
    <w:p w14:paraId="62000000">
      <w:pPr>
        <w:widowControl w:val="1"/>
        <w:numPr>
          <w:ilvl w:val="0"/>
          <w:numId w:val="1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трек</w:t>
      </w:r>
      <w:r>
        <w:rPr>
          <w:rFonts w:ascii="Times New Roman" w:hAnsi="Times New Roman"/>
          <w:sz w:val="28"/>
        </w:rPr>
        <w:t xml:space="preserve"> — обязательный онлайн-курс на платформе «Онлайн-Университет», охватывающий базовые компетенции наставника: коммуникацию, обратную связь, типичные ошибки, техники мотивации.</w:t>
      </w:r>
    </w:p>
    <w:p w14:paraId="63000000">
      <w:pPr>
        <w:widowControl w:val="1"/>
        <w:numPr>
          <w:ilvl w:val="0"/>
          <w:numId w:val="1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Кастомизированный</w:t>
      </w:r>
      <w:r>
        <w:rPr>
          <w:rFonts w:ascii="Times New Roman" w:hAnsi="Times New Roman"/>
          <w:sz w:val="28"/>
        </w:rPr>
        <w:t xml:space="preserve"> (сегментный) трек</w:t>
      </w:r>
      <w:r>
        <w:rPr>
          <w:rFonts w:ascii="Times New Roman" w:hAnsi="Times New Roman"/>
          <w:sz w:val="28"/>
        </w:rPr>
        <w:t xml:space="preserve"> — синхронные сессии с практикующими экспертами, разработанные под конкретные направления.</w:t>
      </w:r>
    </w:p>
    <w:p w14:paraId="64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подход позволяет сохранить единый стандарт качества на уровне всей компании и одновременно учитывать особенности разных бизнес-единиц. Например, в сегменте B2G был разработан «Дневник адаптации» — инструмент, структурирующий этапы перехода на должность и фиксирующий обратную связь. В сегменте B2B реализована программа дополнительного обучения с акцентом на развитие лидерских компетенций.</w:t>
      </w:r>
    </w:p>
    <w:p w14:paraId="65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66000000">
      <w:bookmarkStart w:id="6" w:name="__RefHeading___5"/>
      <w:bookmarkEnd w:id="6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1.3. Цифровая платформа управления наставничеством</w:t>
      </w:r>
    </w:p>
    <w:p w14:paraId="67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процессы интегрированы в корпоративный портал</w:t>
      </w:r>
      <w:r>
        <w:rPr>
          <w:rFonts w:ascii="Times New Roman" w:hAnsi="Times New Roman"/>
          <w:sz w:val="28"/>
        </w:rPr>
        <w:t xml:space="preserve"> компании</w:t>
      </w:r>
      <w:r>
        <w:rPr>
          <w:rFonts w:ascii="Times New Roman" w:hAnsi="Times New Roman"/>
          <w:sz w:val="28"/>
        </w:rPr>
        <w:t>, что обеспечивает:</w:t>
      </w:r>
    </w:p>
    <w:p w14:paraId="68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пула наставников в едином реестре;</w:t>
      </w:r>
    </w:p>
    <w:p w14:paraId="69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назначения наставника руководителем в течение двух рабочих дней;</w:t>
      </w:r>
    </w:p>
    <w:p w14:paraId="6A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соответствия назначений критериям программы (</w:t>
      </w:r>
      <w:r>
        <w:rPr>
          <w:rFonts w:ascii="Times New Roman" w:hAnsi="Times New Roman"/>
          <w:sz w:val="28"/>
        </w:rPr>
        <w:t>грейд</w:t>
      </w:r>
      <w:r>
        <w:rPr>
          <w:rFonts w:ascii="Times New Roman" w:hAnsi="Times New Roman"/>
          <w:sz w:val="28"/>
        </w:rPr>
        <w:t>, производительность, стаж и др.);</w:t>
      </w:r>
    </w:p>
    <w:p w14:paraId="6B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процесс создания и отправки на подпись дополнительных соглашений;</w:t>
      </w:r>
    </w:p>
    <w:p w14:paraId="6C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механизм подачи заявок от потенциальных наставников;</w:t>
      </w:r>
    </w:p>
    <w:p w14:paraId="6D000000">
      <w:pPr>
        <w:widowControl w:val="1"/>
        <w:numPr>
          <w:ilvl w:val="0"/>
          <w:numId w:val="2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рейтинг лучших наставников.</w:t>
      </w:r>
    </w:p>
    <w:p w14:paraId="6E000000">
      <w:bookmarkStart w:id="7" w:name="__RefHeading___6"/>
      <w:bookmarkEnd w:id="7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1.4. Комплексная мотивационная модель</w:t>
      </w:r>
    </w:p>
    <w:p w14:paraId="6F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Мотивация наставников строится на балансе материальных и нематериальных компонентов:</w:t>
      </w:r>
    </w:p>
    <w:p w14:paraId="70000000">
      <w:pPr>
        <w:widowControl w:val="1"/>
        <w:numPr>
          <w:ilvl w:val="0"/>
          <w:numId w:val="3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Фиксированная выплата</w:t>
      </w:r>
      <w:r>
        <w:rPr>
          <w:rFonts w:ascii="Times New Roman" w:hAnsi="Times New Roman"/>
          <w:sz w:val="28"/>
        </w:rPr>
        <w:t xml:space="preserve"> — 2 500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в месяц при наличии наставляемого;</w:t>
      </w:r>
    </w:p>
    <w:p w14:paraId="71000000">
      <w:pPr>
        <w:widowControl w:val="1"/>
        <w:numPr>
          <w:ilvl w:val="0"/>
          <w:numId w:val="3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премия</w:t>
      </w:r>
      <w:r>
        <w:rPr>
          <w:rFonts w:ascii="Times New Roman" w:hAnsi="Times New Roman"/>
          <w:sz w:val="28"/>
        </w:rPr>
        <w:t xml:space="preserve"> — от 3 000 до 9 000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в зависимости от длительности период</w:t>
      </w:r>
      <w:r>
        <w:rPr>
          <w:rFonts w:ascii="Times New Roman" w:hAnsi="Times New Roman"/>
          <w:sz w:val="28"/>
        </w:rPr>
        <w:t>а наставничества 30/60/90 дней</w:t>
      </w:r>
      <w:r>
        <w:rPr>
          <w:rFonts w:ascii="Times New Roman" w:hAnsi="Times New Roman"/>
          <w:sz w:val="28"/>
        </w:rPr>
        <w:t>;</w:t>
      </w:r>
    </w:p>
    <w:p w14:paraId="72000000">
      <w:pPr>
        <w:widowControl w:val="1"/>
        <w:numPr>
          <w:ilvl w:val="0"/>
          <w:numId w:val="3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Нематериальные бонусы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sz w:val="28"/>
        </w:rPr>
        <w:t>брендированные</w:t>
      </w:r>
      <w:r>
        <w:rPr>
          <w:rFonts w:ascii="Times New Roman" w:hAnsi="Times New Roman"/>
          <w:sz w:val="28"/>
        </w:rPr>
        <w:t xml:space="preserve"> подарки, благодарности, дополнительный оплачиваемый день, участие в рейтингах лучш</w:t>
      </w:r>
      <w:r>
        <w:rPr>
          <w:rFonts w:ascii="Times New Roman" w:hAnsi="Times New Roman"/>
          <w:sz w:val="28"/>
        </w:rPr>
        <w:t>их наставников, карьерные треки</w:t>
      </w:r>
      <w:r>
        <w:rPr>
          <w:rFonts w:ascii="Times New Roman" w:hAnsi="Times New Roman"/>
          <w:sz w:val="28"/>
        </w:rPr>
        <w:t>.</w:t>
      </w:r>
    </w:p>
    <w:p w14:paraId="73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подход не только стимулирует участие, но и формирует культуру наставничества как элемент корпоративной идентичности.</w:t>
      </w:r>
    </w:p>
    <w:p w14:paraId="7400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75000000">
      <w:pPr>
        <w:sectPr>
          <w:footerReference r:id="rId1" w:type="default"/>
          <w:pgSz w:h="16838" w:orient="portrait" w:w="11906"/>
          <w:pgMar w:bottom="1134" w:footer="709" w:gutter="0" w:header="709" w:left="1701" w:right="851" w:top="1134"/>
        </w:sectPr>
      </w:pPr>
    </w:p>
    <w:p w14:paraId="76000000">
      <w:bookmarkStart w:id="8" w:name="__RefHeading___7"/>
      <w:bookmarkEnd w:id="8"/>
      <w:pPr>
        <w:pStyle w:val="Style_5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Практика </w:t>
      </w:r>
      <w:r>
        <w:rPr>
          <w:rFonts w:ascii="Times New Roman" w:hAnsi="Times New Roman"/>
          <w:b w:val="1"/>
          <w:sz w:val="28"/>
        </w:rPr>
        <w:t>тиражируемости</w:t>
      </w:r>
      <w:r>
        <w:rPr>
          <w:rFonts w:ascii="Times New Roman" w:hAnsi="Times New Roman"/>
          <w:b w:val="1"/>
          <w:sz w:val="28"/>
        </w:rPr>
        <w:t xml:space="preserve"> (масштабируемости)</w:t>
      </w:r>
    </w:p>
    <w:p w14:paraId="77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изначально проектировалась как масштабируемая и адаптируемая под разные типы организаций и сегментов.</w:t>
      </w:r>
    </w:p>
    <w:p w14:paraId="78000000">
      <w:bookmarkStart w:id="9" w:name="__RefHeading___8"/>
      <w:bookmarkEnd w:id="9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2.1. Гибкость под сегменты и позиции</w:t>
      </w:r>
    </w:p>
    <w:p w14:paraId="79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ориентирована на массовые позиции (</w:t>
      </w:r>
      <w:r>
        <w:rPr>
          <w:rFonts w:ascii="Times New Roman" w:hAnsi="Times New Roman"/>
          <w:sz w:val="28"/>
        </w:rPr>
        <w:t>1–5</w:t>
      </w:r>
      <w:r>
        <w:rPr>
          <w:rFonts w:ascii="Times New Roman" w:hAnsi="Times New Roman"/>
          <w:sz w:val="28"/>
        </w:rPr>
        <w:t xml:space="preserve">грейды), однако ее архитектура легко адаптируется под другие категории сотрудников. Ключевые параметры — продолжительность наставничества (30/60/90 дней), критерии отбора наставников, объем обучения — могут быть скорректированы с учетом специфики конкретного </w:t>
      </w:r>
      <w:r>
        <w:rPr>
          <w:rFonts w:ascii="Times New Roman" w:hAnsi="Times New Roman"/>
          <w:sz w:val="28"/>
        </w:rPr>
        <w:t>конкретной организации</w:t>
      </w:r>
      <w:r>
        <w:rPr>
          <w:rFonts w:ascii="Times New Roman" w:hAnsi="Times New Roman"/>
          <w:sz w:val="28"/>
        </w:rPr>
        <w:t>.</w:t>
      </w:r>
    </w:p>
    <w:p w14:paraId="7A000000">
      <w:bookmarkStart w:id="10" w:name="__RefHeading___9"/>
      <w:bookmarkEnd w:id="10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2.2. Цифровая основа как залог масштабирования</w:t>
      </w:r>
    </w:p>
    <w:p w14:paraId="7B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 всех процессов в цифровой формат снижает зависимость от человеческого фактора и позволяет запускать программу в новых подразделениях без значительных затрат на обучение HR или менеджеров. Руководитель может самостоятельно назначить наставника через портал, система автоматически проверяет соответствие критериям и инициирует выплаты.</w:t>
      </w:r>
    </w:p>
    <w:p w14:paraId="7C000000">
      <w:bookmarkStart w:id="11" w:name="__RefHeading___10"/>
      <w:bookmarkEnd w:id="11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2.3. Возможность внедрения в других организациях</w:t>
      </w:r>
    </w:p>
    <w:p w14:paraId="7D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Модель полностью </w:t>
      </w:r>
      <w:r>
        <w:rPr>
          <w:rFonts w:ascii="Times New Roman" w:hAnsi="Times New Roman"/>
          <w:sz w:val="28"/>
        </w:rPr>
        <w:t>реализуема</w:t>
      </w:r>
      <w:r>
        <w:rPr>
          <w:rFonts w:ascii="Times New Roman" w:hAnsi="Times New Roman"/>
          <w:sz w:val="28"/>
        </w:rPr>
        <w:t xml:space="preserve"> в других компаниях, особенно там, где:</w:t>
      </w:r>
    </w:p>
    <w:p w14:paraId="7E000000">
      <w:pPr>
        <w:widowControl w:val="1"/>
        <w:numPr>
          <w:ilvl w:val="0"/>
          <w:numId w:val="4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высокая текучесть кадров на массовых позициях;</w:t>
      </w:r>
    </w:p>
    <w:p w14:paraId="7F000000">
      <w:pPr>
        <w:widowControl w:val="1"/>
        <w:numPr>
          <w:ilvl w:val="0"/>
          <w:numId w:val="4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распределенные команды по территориям;</w:t>
      </w:r>
    </w:p>
    <w:p w14:paraId="80000000">
      <w:pPr>
        <w:widowControl w:val="1"/>
        <w:numPr>
          <w:ilvl w:val="0"/>
          <w:numId w:val="4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требуется быстрая адаптация в условиях цифровой трансформации.</w:t>
      </w:r>
    </w:p>
    <w:p w14:paraId="81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тиражирования достаточно:</w:t>
      </w:r>
    </w:p>
    <w:p w14:paraId="82000000">
      <w:pPr>
        <w:widowControl w:val="1"/>
        <w:numPr>
          <w:ilvl w:val="0"/>
          <w:numId w:val="5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аналогичный цифровой модуль на внешнем портале или в HR-системе;</w:t>
      </w:r>
    </w:p>
    <w:p w14:paraId="83000000">
      <w:pPr>
        <w:widowControl w:val="1"/>
        <w:numPr>
          <w:ilvl w:val="0"/>
          <w:numId w:val="5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обучающий трек (возможно использование готовых модулей);</w:t>
      </w:r>
    </w:p>
    <w:p w14:paraId="84000000">
      <w:pPr>
        <w:widowControl w:val="1"/>
        <w:numPr>
          <w:ilvl w:val="0"/>
          <w:numId w:val="5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внедрить двухкомпонентную систему мотивации;</w:t>
      </w:r>
    </w:p>
    <w:p w14:paraId="85000000">
      <w:pPr>
        <w:widowControl w:val="1"/>
        <w:numPr>
          <w:ilvl w:val="0"/>
          <w:numId w:val="5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базовые регламенты и критерии.</w:t>
      </w:r>
    </w:p>
    <w:p w14:paraId="86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практика обладает высоким потенциалом масштабирования и может быть адаптирована под любую отрасль от ритейла до ИТ и банковского сектора.</w:t>
      </w:r>
    </w:p>
    <w:p w14:paraId="87000000">
      <w:pPr>
        <w:sectPr>
          <w:footerReference r:id="rId3" w:type="default"/>
          <w:pgSz w:h="16838" w:orient="portrait" w:w="11906"/>
          <w:pgMar w:bottom="1134" w:footer="709" w:gutter="0" w:header="709" w:left="1701" w:right="851" w:top="1134"/>
        </w:sectPr>
      </w:pPr>
    </w:p>
    <w:p w14:paraId="88000000">
      <w:bookmarkStart w:id="12" w:name="__RefHeading___11"/>
      <w:bookmarkEnd w:id="12"/>
      <w:pPr>
        <w:pStyle w:val="Style_5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Результативность и системность</w:t>
      </w:r>
    </w:p>
    <w:p w14:paraId="89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показала устойчивую результативность уже на этапе пилота, охватившего пять сегментов и 234 наставляемых.</w:t>
      </w:r>
    </w:p>
    <w:p w14:paraId="8A000000">
      <w:bookmarkStart w:id="13" w:name="__RefHeading___12"/>
      <w:bookmarkEnd w:id="13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3.1. Количественные результаты</w:t>
      </w:r>
    </w:p>
    <w:p w14:paraId="8B000000">
      <w:pPr>
        <w:widowControl w:val="1"/>
        <w:numPr>
          <w:ilvl w:val="0"/>
          <w:numId w:val="6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Удержание новичков: 76% с наставником против 30% без него;</w:t>
      </w:r>
    </w:p>
    <w:p w14:paraId="8C000000">
      <w:pPr>
        <w:widowControl w:val="1"/>
        <w:numPr>
          <w:ilvl w:val="0"/>
          <w:numId w:val="6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текучести: в 3 раза;</w:t>
      </w:r>
    </w:p>
    <w:p w14:paraId="8D000000">
      <w:pPr>
        <w:widowControl w:val="1"/>
        <w:numPr>
          <w:ilvl w:val="0"/>
          <w:numId w:val="6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Экономия: 3,9 млн рублей за счет снижения затрат на подбор и адаптацию;</w:t>
      </w:r>
    </w:p>
    <w:p w14:paraId="8E000000">
      <w:pPr>
        <w:widowControl w:val="1"/>
        <w:numPr>
          <w:ilvl w:val="0"/>
          <w:numId w:val="6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Окупаемость: 1,1 уже на уровне пилота;</w:t>
      </w:r>
    </w:p>
    <w:p w14:paraId="8F000000">
      <w:pPr>
        <w:widowControl w:val="1"/>
        <w:numPr>
          <w:ilvl w:val="0"/>
          <w:numId w:val="6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Удовлетворенность участников: средний балл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 xml:space="preserve"> 9/10, а 80% опрошенных готовы рекомендовать программу коллегам.</w:t>
      </w:r>
    </w:p>
    <w:p w14:paraId="90000000">
      <w:bookmarkStart w:id="14" w:name="__RefHeading___16"/>
      <w:bookmarkEnd w:id="14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3.2. Качественные эффекты</w:t>
      </w:r>
    </w:p>
    <w:p w14:paraId="91000000">
      <w:pPr>
        <w:widowControl w:val="1"/>
        <w:numPr>
          <w:ilvl w:val="0"/>
          <w:numId w:val="7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вовлеченности опытных сотрудников: наставники проявляют инициативу, предлагают улучшения, участвуют в разработке методических материалов;</w:t>
      </w:r>
    </w:p>
    <w:p w14:paraId="92000000">
      <w:pPr>
        <w:widowControl w:val="1"/>
        <w:numPr>
          <w:ilvl w:val="0"/>
          <w:numId w:val="7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управленческого мышления: наставничество становится первым шагом к лидерству;</w:t>
      </w:r>
    </w:p>
    <w:p w14:paraId="93000000">
      <w:pPr>
        <w:widowControl w:val="1"/>
        <w:numPr>
          <w:ilvl w:val="0"/>
          <w:numId w:val="7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корпоративного сообщества, закрепляющего лучшие практики на уровне всей компании.</w:t>
      </w:r>
    </w:p>
    <w:p w14:paraId="94000000">
      <w:bookmarkStart w:id="15" w:name="__RefHeading___14"/>
      <w:bookmarkEnd w:id="15"/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3.3. Системность подхода</w:t>
      </w:r>
    </w:p>
    <w:p w14:paraId="95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по четырехэтапной модели:</w:t>
      </w:r>
    </w:p>
    <w:p w14:paraId="96000000">
      <w:pPr>
        <w:widowControl w:val="1"/>
        <w:numPr>
          <w:ilvl w:val="0"/>
          <w:numId w:val="8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пула наставников</w:t>
      </w:r>
      <w:r>
        <w:rPr>
          <w:rFonts w:ascii="Times New Roman" w:hAnsi="Times New Roman"/>
          <w:sz w:val="28"/>
        </w:rPr>
        <w:t xml:space="preserve"> — с учетом прогноза приема новичков + 25–50% резерва;</w:t>
      </w:r>
    </w:p>
    <w:p w14:paraId="97000000">
      <w:pPr>
        <w:widowControl w:val="1"/>
        <w:numPr>
          <w:ilvl w:val="0"/>
          <w:numId w:val="8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— обязательный и сегментный треки;</w:t>
      </w:r>
    </w:p>
    <w:p w14:paraId="98000000">
      <w:pPr>
        <w:widowControl w:val="1"/>
        <w:numPr>
          <w:ilvl w:val="0"/>
          <w:numId w:val="8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Наставничество</w:t>
      </w:r>
      <w:r>
        <w:rPr>
          <w:rFonts w:ascii="Times New Roman" w:hAnsi="Times New Roman"/>
          <w:sz w:val="28"/>
        </w:rPr>
        <w:t xml:space="preserve"> — назначение, план, контроль прогресса;</w:t>
      </w:r>
    </w:p>
    <w:p w14:paraId="99000000">
      <w:pPr>
        <w:widowControl w:val="1"/>
        <w:numPr>
          <w:ilvl w:val="0"/>
          <w:numId w:val="8"/>
        </w:numPr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</w:t>
      </w:r>
      <w:r>
        <w:rPr>
          <w:rFonts w:ascii="Times New Roman" w:hAnsi="Times New Roman"/>
          <w:sz w:val="28"/>
        </w:rPr>
        <w:t xml:space="preserve"> — по трем ключевым метрикам: удержание, KPI наставляемого, обратная связь.</w:t>
      </w:r>
    </w:p>
    <w:p w14:paraId="9A000000">
      <w:pPr>
        <w:widowControl w:val="1"/>
        <w:spacing w:afterAutospacing="on" w:beforeAutospacing="on" w:line="360" w:lineRule="auto"/>
        <w:ind w:firstLine="36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этап регламентирован, сопровождается контролем и подкрепляется мотивацией. </w:t>
      </w:r>
      <w:r>
        <w:rPr>
          <w:rFonts w:ascii="Times New Roman" w:hAnsi="Times New Roman"/>
          <w:sz w:val="28"/>
        </w:rPr>
        <w:t>На данный момент н</w:t>
      </w:r>
      <w:r>
        <w:rPr>
          <w:rFonts w:ascii="Times New Roman" w:hAnsi="Times New Roman"/>
          <w:sz w:val="28"/>
        </w:rPr>
        <w:t>аставники проходят полугодовую ротацию с обязательной оценкой: при эффективности ниже 90% они исключаются из пула.</w:t>
      </w:r>
    </w:p>
    <w:p w14:paraId="9B00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9C000000">
      <w:pPr>
        <w:sectPr>
          <w:footerReference r:id="rId5" w:type="default"/>
          <w:pgSz w:h="16838" w:orient="portrait" w:w="11906"/>
          <w:pgMar w:bottom="1134" w:footer="709" w:gutter="0" w:header="709" w:left="1701" w:right="851" w:top="1134"/>
        </w:sectPr>
      </w:pPr>
    </w:p>
    <w:p w14:paraId="9D000000">
      <w:bookmarkStart w:id="16" w:name="__RefHeading___15"/>
      <w:bookmarkEnd w:id="16"/>
      <w:pPr>
        <w:pStyle w:val="Style_5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Заключение</w:t>
      </w:r>
    </w:p>
    <w:p w14:paraId="9E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практика наставничества — это не просто HR-инициатива, а стратегический инструмент удержания талантов, ускорения развития и формирования внутреннего лидерства. Ее уникальность заключается в синтезе организационных, цифровых, образовательных и технологических решений, что делает модель устойчиво мотивирующей даже в условиях высокой текучести и территориальной </w:t>
      </w:r>
      <w:r>
        <w:rPr>
          <w:rFonts w:ascii="Times New Roman" w:hAnsi="Times New Roman"/>
          <w:sz w:val="28"/>
        </w:rPr>
        <w:t>распределенности</w:t>
      </w:r>
      <w:r>
        <w:rPr>
          <w:rFonts w:ascii="Times New Roman" w:hAnsi="Times New Roman"/>
          <w:sz w:val="28"/>
        </w:rPr>
        <w:t>.</w:t>
      </w:r>
    </w:p>
    <w:p w14:paraId="9F000000">
      <w:pPr>
        <w:widowControl w:val="1"/>
        <w:spacing w:afterAutospacing="on" w:beforeAutospacing="on" w:line="36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Высокая результативность, подтвержденная количественными и качественными показателями, а также четкая системность процессов позволяют говорить о доказанной эффективности практики. При этом архитектура программы предполагает легкую адаптацию и масштабирование в других организациях и отраслях.</w:t>
      </w:r>
    </w:p>
    <w:p w14:paraId="A0000000">
      <w:pPr>
        <w:widowControl w:val="1"/>
        <w:spacing w:afterAutospacing="on" w:beforeAutospacing="on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«Наставничество» в ПАО «Ростелеком» является примером того, как человеческий капитал может стать ключевым драйвером бизнес-результатов, если развивать его системно, технологично и с уважением как к новичку, так и к опытному наставнику.</w:t>
      </w:r>
    </w:p>
    <w:p w14:paraId="A1000000">
      <w:pPr>
        <w:widowControl w:val="1"/>
        <w:spacing w:line="360" w:lineRule="auto"/>
        <w:ind/>
        <w:contextualSpacing w:val="1"/>
        <w:jc w:val="both"/>
        <w:rPr>
          <w:rFonts w:ascii="Times New Roman" w:hAnsi="Times New Roman"/>
          <w:sz w:val="28"/>
        </w:rPr>
      </w:pPr>
    </w:p>
    <w:sectPr>
      <w:footerReference r:id="rId4" w:type="default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4" w:type="paragraph">
    <w:name w:val="toc 2"/>
    <w:next w:val="Style_7"/>
    <w:link w:val="Style_4_ch"/>
    <w:uiPriority w:val="39"/>
    <w:pPr>
      <w:widowControl w:val="1"/>
      <w:spacing w:line="264" w:lineRule="auto"/>
      <w:ind w:left="200"/>
    </w:pPr>
    <w:rPr>
      <w:rFonts w:ascii="XO Thames" w:hAnsi="XO Thames"/>
      <w:color w:val="00000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z w:val="28"/>
    </w:rPr>
  </w:style>
  <w:style w:styleId="Style_8" w:type="paragraph">
    <w:name w:val="toc 4"/>
    <w:next w:val="Style_7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footer"/>
    <w:basedOn w:val="Style_7"/>
    <w:link w:val="Style_1_ch"/>
    <w:pPr>
      <w:widowControl w:val="1"/>
      <w:tabs>
        <w:tab w:leader="none" w:pos="4513" w:val="center"/>
        <w:tab w:leader="none" w:pos="9026" w:val="right"/>
      </w:tabs>
      <w:spacing w:after="0" w:line="240" w:lineRule="auto"/>
      <w:ind/>
    </w:pPr>
  </w:style>
  <w:style w:styleId="Style_1_ch" w:type="character">
    <w:name w:val="footer"/>
    <w:basedOn w:val="Style_7_ch"/>
    <w:link w:val="Style_1"/>
  </w:style>
  <w:style w:styleId="Style_9" w:type="paragraph">
    <w:name w:val="toc 6"/>
    <w:next w:val="Style_7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7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7"/>
    <w:link w:val="Style_12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2_ch" w:type="character">
    <w:name w:val="heading 3"/>
    <w:basedOn w:val="Style_7_ch"/>
    <w:link w:val="Style_12"/>
    <w:rPr>
      <w:rFonts w:ascii="Times New Roman" w:hAnsi="Times New Roman"/>
      <w:b w:val="1"/>
      <w:sz w:val="27"/>
    </w:rPr>
  </w:style>
  <w:style w:styleId="Style_13" w:type="paragraph">
    <w:name w:val="header"/>
    <w:basedOn w:val="Style_7"/>
    <w:link w:val="Style_13_ch"/>
    <w:pPr>
      <w:widowControl w:val="1"/>
      <w:tabs>
        <w:tab w:leader="none" w:pos="4513" w:val="center"/>
        <w:tab w:leader="none" w:pos="9026" w:val="right"/>
      </w:tabs>
      <w:spacing w:after="0" w:line="240" w:lineRule="auto"/>
      <w:ind/>
    </w:pPr>
  </w:style>
  <w:style w:styleId="Style_13_ch" w:type="character">
    <w:name w:val="header"/>
    <w:basedOn w:val="Style_7_ch"/>
    <w:link w:val="Style_13"/>
  </w:style>
  <w:style w:styleId="Style_14" w:type="paragraph">
    <w:name w:val="toc 3"/>
    <w:basedOn w:val="Style_7"/>
    <w:next w:val="Style_7"/>
    <w:link w:val="Style_14_ch"/>
    <w:uiPriority w:val="39"/>
    <w:pPr>
      <w:widowControl w:val="1"/>
      <w:spacing w:after="100"/>
      <w:ind w:left="440"/>
    </w:pPr>
  </w:style>
  <w:style w:styleId="Style_14_ch" w:type="character">
    <w:name w:val="toc 3"/>
    <w:basedOn w:val="Style_7_ch"/>
    <w:link w:val="Style_14"/>
  </w:style>
  <w:style w:styleId="Style_15" w:type="paragraph">
    <w:name w:val="heading 5"/>
    <w:basedOn w:val="Style_7"/>
    <w:next w:val="Style_7"/>
    <w:link w:val="Style_15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Theme="majorAscii" w:hAnsiTheme="majorHAnsi"/>
      <w:color w:themeColor="accent1" w:themeShade="BF" w:val="2E75B5"/>
    </w:rPr>
  </w:style>
  <w:style w:styleId="Style_15_ch" w:type="character">
    <w:name w:val="heading 5"/>
    <w:basedOn w:val="Style_7_ch"/>
    <w:link w:val="Style_15"/>
    <w:rPr>
      <w:rFonts w:asciiTheme="majorAscii" w:hAnsiTheme="majorHAnsi"/>
      <w:color w:themeColor="accent1" w:themeShade="BF" w:val="2E75B5"/>
    </w:rPr>
  </w:style>
  <w:style w:styleId="Style_5" w:type="paragraph">
    <w:name w:val="heading 1"/>
    <w:basedOn w:val="Style_7"/>
    <w:next w:val="Style_7"/>
    <w:link w:val="Style_5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sz w:val="32"/>
    </w:rPr>
  </w:style>
  <w:style w:styleId="Style_5_ch" w:type="character">
    <w:name w:val="heading 1"/>
    <w:basedOn w:val="Style_7_ch"/>
    <w:link w:val="Style_5"/>
    <w:rPr>
      <w:rFonts w:asciiTheme="majorAscii" w:hAnsiTheme="majorHAnsi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3" w:type="paragraph">
    <w:name w:val="toc 1"/>
    <w:next w:val="Style_7"/>
    <w:link w:val="Style_3_ch"/>
    <w:uiPriority w:val="39"/>
    <w:pPr>
      <w:widowControl w:val="1"/>
      <w:spacing w:line="264" w:lineRule="auto"/>
      <w:ind/>
    </w:pPr>
    <w:rPr>
      <w:rFonts w:ascii="XO Thames" w:hAnsi="XO Thames"/>
      <w:b w:val="1"/>
      <w:color w:val="000000"/>
      <w:sz w:val="28"/>
    </w:rPr>
  </w:style>
  <w:style w:styleId="Style_3_ch" w:type="character">
    <w:name w:val="toc 1"/>
    <w:link w:val="Style_3"/>
    <w:rPr>
      <w:rFonts w:ascii="XO Thames" w:hAnsi="XO Thames"/>
      <w:b w:val="1"/>
      <w:color w:val="000000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7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pPr>
      <w:widowControl w:val="1"/>
      <w:spacing w:line="264" w:lineRule="auto"/>
      <w:ind/>
    </w:pPr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Normal (Web)"/>
    <w:basedOn w:val="Style_7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7_ch"/>
    <w:link w:val="Style_21"/>
    <w:rPr>
      <w:rFonts w:ascii="Times New Roman" w:hAnsi="Times New Roman"/>
      <w:sz w:val="24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Strong"/>
    <w:basedOn w:val="Style_24"/>
    <w:link w:val="Style_26_ch"/>
    <w:rPr>
      <w:b w:val="1"/>
    </w:rPr>
  </w:style>
  <w:style w:styleId="Style_26_ch" w:type="character">
    <w:name w:val="Strong"/>
    <w:basedOn w:val="Style_24_ch"/>
    <w:link w:val="Style_26"/>
    <w:rPr>
      <w:b w:val="1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basedOn w:val="Style_7"/>
    <w:link w:val="Style_28_ch"/>
    <w:uiPriority w:val="9"/>
    <w:qFormat/>
    <w:pPr>
      <w:widowControl w:val="1"/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8_ch" w:type="character">
    <w:name w:val="heading 4"/>
    <w:basedOn w:val="Style_7_ch"/>
    <w:link w:val="Style_28"/>
    <w:rPr>
      <w:rFonts w:ascii="Times New Roman" w:hAnsi="Times New Roman"/>
      <w:b w:val="1"/>
      <w:sz w:val="24"/>
    </w:rPr>
  </w:style>
  <w:style w:styleId="Style_6" w:type="paragraph">
    <w:name w:val="heading 2"/>
    <w:basedOn w:val="Style_7"/>
    <w:link w:val="Style_6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6_ch" w:type="character">
    <w:name w:val="heading 2"/>
    <w:basedOn w:val="Style_7_ch"/>
    <w:link w:val="Style_6"/>
    <w:rPr>
      <w:rFonts w:ascii="Times New Roman" w:hAnsi="Times New Roman"/>
      <w:b w:val="1"/>
      <w:sz w:val="3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footer1.xml" Type="http://schemas.openxmlformats.org/officeDocument/2006/relationships/foot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2025-10-09T04:46:38Z</dcterms:created>
  <dcterms:modified xsi:type="dcterms:W3CDTF">2025-10-09T04:46:38Z</dcterms:modified>
</cp:coreProperties>
</file>