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3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3848100</wp:posOffset>
                </wp:positionH>
                <wp:positionV relativeFrom="paragraph">
                  <wp:posOffset>114300</wp:posOffset>
                </wp:positionV>
                <wp:extent cx="3667125" cy="781050"/>
                <wp:effectExtent b="0" l="0" r="0" t="0"/>
                <wp:wrapNone/>
                <wp:docPr id="103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3848100</wp:posOffset>
                </wp:positionH>
                <wp:positionV relativeFrom="paragraph">
                  <wp:posOffset>114300</wp:posOffset>
                </wp:positionV>
                <wp:extent cx="3667125" cy="781050"/>
                <wp:effectExtent b="0" l="0" r="0" t="0"/>
                <wp:wrapNone/>
                <wp:docPr id="103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67125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оведении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акции “Российский триколор”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местного отделения ВОД «ВОЛОНТЁРЫ ПОБЕДЫ» в г.о. Балашиха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июня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городской акции “Российский триколор” на территории г.о. Балашиха Московской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акции координатора направления “Великая Победа” местного отделения ВОД “ВОЛОНТЕРЫ ПОБЕДЫ” г. о. Балашиха - Арутюнян Армине Генриковну;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дату проведения акции на 12 июня 2024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акции: о дате, о времени и о количественном составе участвующих в акции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14120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HdLt4qNYSfEF0SA0sLIF+rmqVA==">CgMxLjA4AHIhMUl2VVNmMUVlOHNtczk2NkktMG8xTExWR0cxb2R5XzBO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