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EC" w:rsidRDefault="00FE05E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05EC" w:rsidRDefault="00FE05EC">
      <w:pPr>
        <w:pStyle w:val="ConsPlusNormal"/>
        <w:jc w:val="both"/>
        <w:outlineLvl w:val="0"/>
      </w:pPr>
    </w:p>
    <w:p w:rsidR="00FE05EC" w:rsidRDefault="00FE05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05EC" w:rsidRDefault="00FE05EC">
      <w:pPr>
        <w:pStyle w:val="ConsPlusTitle"/>
        <w:jc w:val="both"/>
      </w:pPr>
    </w:p>
    <w:p w:rsidR="00FE05EC" w:rsidRDefault="00FE05EC">
      <w:pPr>
        <w:pStyle w:val="ConsPlusTitle"/>
        <w:jc w:val="center"/>
      </w:pPr>
      <w:r>
        <w:t>ПОСТАНОВЛЕНИЕ</w:t>
      </w:r>
    </w:p>
    <w:p w:rsidR="00FE05EC" w:rsidRDefault="00FE05EC">
      <w:pPr>
        <w:pStyle w:val="ConsPlusTitle"/>
        <w:jc w:val="center"/>
      </w:pPr>
      <w:r>
        <w:t>от 27 июня 2018 г. N 741</w:t>
      </w:r>
    </w:p>
    <w:p w:rsidR="00FE05EC" w:rsidRDefault="00FE05EC">
      <w:pPr>
        <w:pStyle w:val="ConsPlusTitle"/>
        <w:jc w:val="both"/>
      </w:pPr>
    </w:p>
    <w:p w:rsidR="00FE05EC" w:rsidRDefault="00FE05EC">
      <w:pPr>
        <w:pStyle w:val="ConsPlusTitle"/>
        <w:jc w:val="center"/>
      </w:pPr>
      <w:r>
        <w:t>ОБ УТВЕРЖДЕНИИ ПРАВИЛ</w:t>
      </w:r>
    </w:p>
    <w:p w:rsidR="00FE05EC" w:rsidRDefault="00FE05EC">
      <w:pPr>
        <w:pStyle w:val="ConsPlusTitle"/>
        <w:jc w:val="center"/>
      </w:pPr>
      <w:r>
        <w:t>ПРЕДОСТАВЛЕНИЯ СУБСИДИЙ ИЗ ФЕДЕРАЛЬНОГО БЮДЖЕТА</w:t>
      </w:r>
    </w:p>
    <w:p w:rsidR="00FE05EC" w:rsidRDefault="00FE05EC">
      <w:pPr>
        <w:pStyle w:val="ConsPlusTitle"/>
        <w:jc w:val="center"/>
      </w:pPr>
      <w:r>
        <w:t>НЕКОММЕРЧЕСКИМ ОРГАНИЗАЦИЯМ (ЗА ИСКЛЮЧЕНИЕМ СУБСИДИЙ</w:t>
      </w:r>
    </w:p>
    <w:p w:rsidR="00FE05EC" w:rsidRDefault="00FE05EC">
      <w:pPr>
        <w:pStyle w:val="ConsPlusTitle"/>
        <w:jc w:val="center"/>
      </w:pPr>
      <w:r>
        <w:t>ГОСУДАРСТВЕННЫМ (МУНИЦИПАЛЬНЫМ) УЧРЕЖДЕНИЯМ) НА РЕАЛИЗАЦИЮ</w:t>
      </w:r>
    </w:p>
    <w:p w:rsidR="00FE05EC" w:rsidRDefault="00FE05EC">
      <w:pPr>
        <w:pStyle w:val="ConsPlusTitle"/>
        <w:jc w:val="center"/>
      </w:pPr>
      <w:r>
        <w:t>ТВОРЧЕСКИХ ПРОЕКТОВ В СФЕРЕ МУЗЫКАЛЬНОГО, ТЕАТРАЛЬНОГО,</w:t>
      </w:r>
    </w:p>
    <w:p w:rsidR="00FE05EC" w:rsidRDefault="00FE05EC">
      <w:pPr>
        <w:pStyle w:val="ConsPlusTitle"/>
        <w:jc w:val="center"/>
      </w:pPr>
      <w:r>
        <w:t>ИЗОБРАЗИТЕЛЬНОГО ИСКУССТВА И НАРОДНОГО ТВОРЧЕСТВА</w:t>
      </w:r>
    </w:p>
    <w:p w:rsidR="00FE05EC" w:rsidRDefault="00FE05EC">
      <w:pPr>
        <w:pStyle w:val="ConsPlusTitle"/>
        <w:jc w:val="center"/>
      </w:pPr>
      <w:r>
        <w:t>И ПРИЗНАНИИ УТРАТИВШИМИ СИЛУ НЕКОТОРЫХ АКТОВ</w:t>
      </w:r>
    </w:p>
    <w:p w:rsidR="00FE05EC" w:rsidRDefault="00FE05EC">
      <w:pPr>
        <w:pStyle w:val="ConsPlusTitle"/>
        <w:jc w:val="center"/>
      </w:pPr>
      <w:r>
        <w:t>ПРАВИТЕЛЬСТВА РОССИЙСКОЙ ФЕДЕРАЦИИ</w:t>
      </w:r>
    </w:p>
    <w:p w:rsidR="00FE05EC" w:rsidRDefault="00FE05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5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5EC" w:rsidRDefault="00FE05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5EC" w:rsidRDefault="00FE05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19.02.2020 </w:t>
            </w:r>
            <w:hyperlink r:id="rId5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FE05EC" w:rsidRDefault="00FE05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6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E05EC" w:rsidRPr="00CC1F56" w:rsidRDefault="00FE05E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некоммерческим организациям (за исключением субсидий государственным (муниципальным) учреждениям</w:t>
      </w:r>
      <w:r w:rsidRPr="00CC1F56">
        <w:t>) на реализацию творческих проектов в сфере музыкального, театрального, изобразительного искусства и народного творчества.</w:t>
      </w:r>
    </w:p>
    <w:p w:rsidR="00FE05EC" w:rsidRDefault="00FE05EC">
      <w:pPr>
        <w:pStyle w:val="ConsPlusNormal"/>
        <w:spacing w:before="220"/>
        <w:ind w:firstLine="540"/>
        <w:jc w:val="both"/>
      </w:pPr>
      <w:r w:rsidRPr="00CC1F56">
        <w:t>2. Признать утратившими силу:</w:t>
      </w:r>
    </w:p>
    <w:p w:rsidR="00FE05EC" w:rsidRDefault="00BE3288">
      <w:pPr>
        <w:pStyle w:val="ConsPlusNormal"/>
        <w:spacing w:before="220"/>
        <w:ind w:firstLine="540"/>
        <w:jc w:val="both"/>
      </w:pPr>
      <w:hyperlink r:id="rId7" w:history="1">
        <w:r w:rsidR="00FE05EC">
          <w:rPr>
            <w:color w:val="0000FF"/>
          </w:rPr>
          <w:t>постановление</w:t>
        </w:r>
      </w:hyperlink>
      <w:r w:rsidR="00FE05EC">
        <w:t xml:space="preserve"> Правительства Российской Федерации от 19 февраля 2013 г. N 143 "Об утверждении Правил предоставления субсидий из федерального бюджета некоммерческим организациям (за исключением субсидий государственным (муниципальным) учреждениям) в целях реализации творческих проектов в сфере культуры" (Собрание законодательства Российской Федерации, 2013, N 8, ст. 845);</w:t>
      </w:r>
    </w:p>
    <w:p w:rsidR="00FE05EC" w:rsidRDefault="00BE3288">
      <w:pPr>
        <w:pStyle w:val="ConsPlusNormal"/>
        <w:spacing w:before="220"/>
        <w:ind w:firstLine="540"/>
        <w:jc w:val="both"/>
      </w:pPr>
      <w:hyperlink r:id="rId8" w:history="1">
        <w:r w:rsidR="00FE05EC">
          <w:rPr>
            <w:color w:val="0000FF"/>
          </w:rPr>
          <w:t>пункт 162</w:t>
        </w:r>
      </w:hyperlink>
      <w:r w:rsidR="00FE05EC"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3525).</w:t>
      </w: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right"/>
      </w:pPr>
      <w:r>
        <w:t>Председатель Правительства</w:t>
      </w:r>
    </w:p>
    <w:p w:rsidR="00FE05EC" w:rsidRDefault="00FE05EC">
      <w:pPr>
        <w:pStyle w:val="ConsPlusNormal"/>
        <w:jc w:val="right"/>
      </w:pPr>
      <w:r>
        <w:t>Российской Федерации</w:t>
      </w:r>
    </w:p>
    <w:p w:rsidR="00FE05EC" w:rsidRDefault="00FE05EC">
      <w:pPr>
        <w:pStyle w:val="ConsPlusNormal"/>
        <w:jc w:val="right"/>
      </w:pPr>
      <w:r>
        <w:t>Д.МЕДВЕДЕВ</w:t>
      </w: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right"/>
        <w:outlineLvl w:val="0"/>
      </w:pPr>
      <w:r>
        <w:t>Утверждены</w:t>
      </w:r>
    </w:p>
    <w:p w:rsidR="00FE05EC" w:rsidRDefault="00FE05EC">
      <w:pPr>
        <w:pStyle w:val="ConsPlusNormal"/>
        <w:jc w:val="right"/>
      </w:pPr>
      <w:r>
        <w:t>постановлением Правительства</w:t>
      </w:r>
    </w:p>
    <w:p w:rsidR="00FE05EC" w:rsidRDefault="00FE05EC">
      <w:pPr>
        <w:pStyle w:val="ConsPlusNormal"/>
        <w:jc w:val="right"/>
      </w:pPr>
      <w:r>
        <w:t>Российской Федерации</w:t>
      </w:r>
    </w:p>
    <w:p w:rsidR="00FE05EC" w:rsidRDefault="00FE05EC">
      <w:pPr>
        <w:pStyle w:val="ConsPlusNormal"/>
        <w:jc w:val="right"/>
      </w:pPr>
      <w:r>
        <w:lastRenderedPageBreak/>
        <w:t>от 27 июня 2018 г. N 741</w:t>
      </w: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Title"/>
        <w:jc w:val="center"/>
      </w:pPr>
      <w:bookmarkStart w:id="0" w:name="P37"/>
      <w:bookmarkEnd w:id="0"/>
      <w:r>
        <w:t>ПРАВИЛА</w:t>
      </w:r>
    </w:p>
    <w:p w:rsidR="00FE05EC" w:rsidRDefault="00FE05EC">
      <w:pPr>
        <w:pStyle w:val="ConsPlusTitle"/>
        <w:jc w:val="center"/>
      </w:pPr>
      <w:r>
        <w:t>ПРЕДОСТАВЛЕНИЯ СУБСИДИЙ ИЗ ФЕДЕРАЛЬНОГО БЮДЖЕТА</w:t>
      </w:r>
    </w:p>
    <w:p w:rsidR="00FE05EC" w:rsidRDefault="00FE05EC">
      <w:pPr>
        <w:pStyle w:val="ConsPlusTitle"/>
        <w:jc w:val="center"/>
      </w:pPr>
      <w:r>
        <w:t>НЕКОММЕРЧЕСКИМ ОРГАНИЗАЦИЯМ (ЗА ИСКЛЮЧЕНИЕМ СУБСИДИЙ</w:t>
      </w:r>
    </w:p>
    <w:p w:rsidR="00FE05EC" w:rsidRDefault="00FE05EC">
      <w:pPr>
        <w:pStyle w:val="ConsPlusTitle"/>
        <w:jc w:val="center"/>
      </w:pPr>
      <w:r>
        <w:t>ГОСУДАРСТВЕННЫМ (МУНИЦИПАЛЬНЫМ) УЧРЕЖДЕНИЯМ) НА РЕАЛИЗАЦИЮ</w:t>
      </w:r>
    </w:p>
    <w:p w:rsidR="00FE05EC" w:rsidRDefault="00FE05EC">
      <w:pPr>
        <w:pStyle w:val="ConsPlusTitle"/>
        <w:jc w:val="center"/>
      </w:pPr>
      <w:r>
        <w:t>ТВОРЧЕСКИХ ПРОЕКТОВ В СФЕРЕ МУЗЫКАЛЬНОГО, ТЕАТРАЛЬНОГО,</w:t>
      </w:r>
    </w:p>
    <w:p w:rsidR="00FE05EC" w:rsidRDefault="00FE05EC">
      <w:pPr>
        <w:pStyle w:val="ConsPlusTitle"/>
        <w:jc w:val="center"/>
      </w:pPr>
      <w:r>
        <w:t>ИЗОБРАЗИТЕЛЬНОГО ИСКУССТВА И НАРОДНОГО ТВОРЧЕСТВА</w:t>
      </w:r>
    </w:p>
    <w:p w:rsidR="00FE05EC" w:rsidRDefault="00FE05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5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5EC" w:rsidRDefault="00FE05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5EC" w:rsidRDefault="00FE05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15.03.2021 N 382)</w:t>
            </w:r>
          </w:p>
        </w:tc>
      </w:tr>
    </w:tbl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ind w:firstLine="540"/>
        <w:jc w:val="both"/>
      </w:pPr>
      <w:bookmarkStart w:id="1" w:name="P46"/>
      <w:bookmarkEnd w:id="1"/>
      <w:r>
        <w:t xml:space="preserve">1. Настоящие Правила устанавливают цели, условия и порядок предоставления субсидий из федерального бюджета некоммерческим организациям (за исключением субсидий государственным (муниципальным) учреждениям) на реализацию творческих проектов в сфере музыкального, театрального, изобразительного искусства и народного творчества (далее соответственно - субсидии, некоммерческая организация, творческие проекты). Субсидии предоставляются в рамках </w:t>
      </w:r>
      <w:hyperlink r:id="rId10" w:history="1">
        <w:r>
          <w:rPr>
            <w:color w:val="0000FF"/>
          </w:rPr>
          <w:t>подпрограммы</w:t>
        </w:r>
      </w:hyperlink>
      <w:r>
        <w:t xml:space="preserve"> "Искусство" государственной программы Российской Федерации "Развитие культуры", а также в рамках федерального </w:t>
      </w:r>
      <w:hyperlink r:id="rId11" w:history="1">
        <w:r>
          <w:rPr>
            <w:color w:val="0000FF"/>
          </w:rPr>
          <w:t>проекта</w:t>
        </w:r>
      </w:hyperlink>
      <w:r>
        <w:t xml:space="preserve"> "Творческие люди" национального проекта "Культура".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 Предоставление субсидий осуществляется в пределах лимитов бюджетных обязательств, доведенных до Министерства культуры Российской Федерации как получателя средств федерального бюджета на цели,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Сведения о субсидиях при формировании проекта федерального закона о федеральном бюджете, проекта федерального закона о внесении изменений в федеральный закон о федеральном бюджете размещаются в информационно-телекоммуникационной сети "Интернет" (далее - сеть "Интернет") на едином портале бюджетной системы Российской Федерации.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3. Субсидии предоставляются некоммерческим организациям, соответствующим следующим требованиям на 1-е число месяца, предшествующего месяцу, в котором планируется проведение конкурсного отбора, предусмотренного </w:t>
      </w:r>
      <w:hyperlink w:anchor="P59" w:history="1">
        <w:r>
          <w:rPr>
            <w:color w:val="0000FF"/>
          </w:rPr>
          <w:t>пунктом 5</w:t>
        </w:r>
      </w:hyperlink>
      <w:r>
        <w:t xml:space="preserve"> настоящих Правил: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некоммерческая организация является юридическим лицом, зарегистрированным не позднее чем за один год до окончания приема заявок некоммерческих организаций на участие в конкурсном отборе (далее - заявка) и осуществляющим деятельность на территории Российской Федерации;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у некоммерческой организации 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Российской Федерацией;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в) у некоммерческой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некоммерческая организация не находится в процессе ликвидации, реорганизации (за исключением реорганизации в форме присоединения к некоммерческой организации, являющейся участником отбора, другого юридического лица), в отношении ее не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lastRenderedPageBreak/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FE05EC" w:rsidRPr="00CC1F56" w:rsidRDefault="00FE05EC">
      <w:pPr>
        <w:pStyle w:val="ConsPlusNormal"/>
        <w:spacing w:before="220"/>
        <w:ind w:firstLine="540"/>
        <w:jc w:val="both"/>
      </w:pPr>
      <w:bookmarkStart w:id="5" w:name="P55"/>
      <w:bookmarkEnd w:id="5"/>
      <w:r w:rsidRPr="00CC1F56">
        <w:t xml:space="preserve">е) некоммерческая организация не получает средства из федерального бюджета на основании иных нормативных правовых актов Российской Федерации на цели, установленные </w:t>
      </w:r>
      <w:hyperlink w:anchor="P46" w:history="1">
        <w:r w:rsidRPr="00CC1F56">
          <w:rPr>
            <w:color w:val="0000FF"/>
          </w:rPr>
          <w:t>пунктом 1</w:t>
        </w:r>
      </w:hyperlink>
      <w:r w:rsidRPr="00CC1F56"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 w:rsidRPr="00CC1F56">
        <w:t>ж) некоммерческая организация</w:t>
      </w:r>
      <w: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6" w:name="P57"/>
      <w:bookmarkEnd w:id="6"/>
      <w:r>
        <w:t>4. Результатом предоставления субсидий является реализованный в текущем году творческий проект в сфере музыкального, театрального, изобразительного искусства и народного творчества.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Показателями, необходимыми для достижения результата предоставления субсидий, являются количественные характеристики мероприятий в рамках проведения творческого проекта, значения которых устанавливаются в соглашении о предоставлении субсидии (далее - соглашение).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5. Субсидии предоставляются по итогам организованного Министерством культуры Российской Федерации в установленном им </w:t>
      </w:r>
      <w:hyperlink r:id="rId12" w:history="1">
        <w:r>
          <w:rPr>
            <w:color w:val="0000FF"/>
          </w:rPr>
          <w:t>порядке</w:t>
        </w:r>
      </w:hyperlink>
      <w:r>
        <w:t xml:space="preserve"> конкурсного отбора заявок.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6. Министерство культуры Российской Федерации публикует на своем официальном сайте в сети "Интернет" (www.culture.gov.ru) (далее - официальный сайт Министерства культуры Российской Федерации) объявление о проведении конкурсного отбора с указанием: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сроков проведения конкурсного отбора (даты и времени начала (окончания) подачи (приема) заявок), которые не могут составлять менее 30 календарных дней, следующих за днем размещения объявления о проведении конкурсного отбора;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Министерства культуры Российской Федерации;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в) целей предоставления субсидии,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г) результата предоставления субсидии в соответствии с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требований к творческому проекту, на реализацию которого предоставляется субсидия;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е) требований к некоммерческим организациям, участвующим в конкурсном отборе, а также перечня документов, представляемых для подтверждения их соответствия указанным требованиям;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ж) порядка подачи заявок и требований, предъявляемых к форме и содержанию заявок, в соответствии с </w:t>
      </w:r>
      <w:hyperlink w:anchor="P76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з) порядка отзыва заявок;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и) порядка возврата заявок, определяющего в том числе основания для возврата заявок;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к) порядка внесения изменений в заявки;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л) правил рассмотрения и оценки заявок;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lastRenderedPageBreak/>
        <w:t>м) порядка предоставления некоммерческим организациям разъяснений положений объявления о проведении конкурсного отбора, дат начала и окончания срока такого предоставления;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н) срока, в течение которого победитель конкурсного отбора должен подписать соглашение;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о) условий признания победителя конкурсного отбора уклонившимся от заключения соглашения;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п) даты размещения результатов конкурсного отбора на официальном сайте Министерства культуры Российской Федерации.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8" w:name="P76"/>
      <w:bookmarkEnd w:id="8"/>
      <w:r>
        <w:t>7. Для участия в конкурсном отборе некоммерческие организации не позднее срока окончания подачи заявок, указанного в объявлении о проведении конкурсного отбора, представляют в Министерство культуры Российской Федерации заявку на бумажном носителе в соответствии с требованиями, установленными в объявлении о проведении конкурсного отбора и настоящими Правилами. Некоммерческая организация может подать только одну заявку по одному творческому проекту.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9" w:name="P77"/>
      <w:bookmarkEnd w:id="9"/>
      <w:r>
        <w:t>8. К заявке прилагаются следующие документы: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план реализации творческого проекта, перечень показателей и их количественные характеристики, необходимые для достижения целей и результата предоставления субсидии, в том числе по информационной освещенности проекта, в соответствии с требованиями, указанными в объявлении о проведении конкурсного отбора;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б) обоснование необходимости финансовой поддержки для осуществления финансового обеспечения расходов, связанных с реализацией творческого проекта (смета расходов), в соответствии с </w:t>
      </w:r>
      <w:hyperlink w:anchor="P110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сведения о некоммерческой организации - заявителе: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основные цели деятельности некоммерческой организации в соответствии с ее учредительными документами;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материально-технические и кадровые ресурсы некоммерческой организации;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документы, подтверждающие наличие опыта, необходимого для достижения целей и результата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документ, подтверждающий полномочия руководителя некоммерческой организации на осуществление действий от имени некоммерческой организации. В случае если от ее имени действует не руководитель, а иное лицо, к заявке также прилагается доверенность на осуществление действий от имени некоммерческой организации, заверенная в установленном порядке;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е) справка территориального органа Федеральной налоговой службы об исполнении налогоплательщиком обязанности по уплате налогов, сборов, страховых взносов, пеней, полученная не ранее чем за один месяц до дня объявления сбора заявок;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ж) подписанные уполномоченным лицом некоммерческой организации справки о соответствии некоммерческой организации требованиям, предусмотренным </w:t>
      </w:r>
      <w:hyperlink w:anchor="P52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5" w:history="1">
        <w:r>
          <w:rPr>
            <w:color w:val="0000FF"/>
          </w:rPr>
          <w:t>"е" пункта 3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з) подписанное уполномоченным лицом некоммерческой организации согласие на публикацию (размещение) в сети "Интернет" информации о некоммерческой организации, о </w:t>
      </w:r>
      <w:r>
        <w:lastRenderedPageBreak/>
        <w:t>заявке, иной информации о некоммерческой организации, связанной с соответствующим конкурсным отбором;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и) справка, подтверждающая,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9. Заявка может быть отклонена на стадии рассмотрения и оценки заявок по следующим основаниям: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а) несоответствие участника конкурсного отбора требованиям, установленным </w:t>
      </w:r>
      <w:hyperlink w:anchor="P49" w:history="1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некоммерческой организацией документов документам, указанным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настоящих Правил, или непредставление (представление не в полном объеме) таких документов;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установление факта недостоверности представленной некоммерческой организацией информации, в том числе информации о месте нахождения и адресе юридического лица;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подача некоммерческой организацией заявки после даты и (или) времени, определенных для подачи заявок в объявлении о проведении конкурсного отбора;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несоответствие представленного творческого проекта целям и требованиям к творческому проекту, указанным в объявлении о проведении конкурсного отбора.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10. Рассмотрение и оценка заявок проводятся экспертным советом, созданным Министерством культуры Российской Федерации (далее - экспертный совет).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11. Рассмотрение и оценка заявок проводятся с учетом следующих критериев: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творческое своеобразие, художественная ценность, актуальность и социальная значимость творческого проекта, представляемого некоммерческой организацией;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результативность творческого проекта - оценка актуальности и значимости описанных в проекте мероприятий для достижения заявленного значения результата предоставления субсидии, в том числе количественные характеристики показателей, необходимых для достижения результата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реалистичность бюджета проекта - оценка детализированной сметы проекта с учетом привлеченных некоммерческой организацией средств в финансирование творческого проекта;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информационная открытость проекта - соотношение предварительной и запланированной информационной освещенности проекта с заявленным значением результата предоставления субсидии, в том числе с показателями, необходимыми для достижения результата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наличие опыта, необходимого для достижения целей и результата предоставления субсидии.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12. По каждому из критериев, указанных в </w:t>
      </w:r>
      <w:hyperlink w:anchor="P96" w:history="1">
        <w:r>
          <w:rPr>
            <w:color w:val="0000FF"/>
          </w:rPr>
          <w:t>пункте 11</w:t>
        </w:r>
      </w:hyperlink>
      <w:r>
        <w:t xml:space="preserve"> настоящих Правил, заявки рассматриваются и оцениваются не менее чем 5 членами экспертного совета с присвоением баллов </w:t>
      </w:r>
      <w:r>
        <w:lastRenderedPageBreak/>
        <w:t>от 0 до 5. Весовое значение заявки в общей оценке исчисляется как сумма баллов по каждому критерию, выставленных членами экспертного совета, принявшими участие в оценке заявки. Победителем в конкурсном отборе становится некоммерческая организация, набравшая наибольшее количество баллов.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13. Заявки, представленные в соответствии с </w:t>
      </w:r>
      <w:hyperlink w:anchor="P76" w:history="1">
        <w:r>
          <w:rPr>
            <w:color w:val="0000FF"/>
          </w:rPr>
          <w:t>пунктом 7</w:t>
        </w:r>
      </w:hyperlink>
      <w:r>
        <w:t xml:space="preserve"> настоящих Правил, рассматриваются и оцениваются в порядке, установленном Министерством культуры Российской Федерации, в течение 60 рабочих дней со дня окончания приема заявок.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14. Министерство культуры Российской Федерации не позднее 14 календарного дня, следующего за днем определения победителя конкурсного отбора, состоявшегося не позднее 1 апреля текущего года, размещает на едином портале бюджетной системы Российской Федерации, а также на официальном сайте Министерства культуры Российской Федерации информацию о результатах рассмотрения заявок, включающую следующие сведения: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дата, время и место проведения, рассмотрения и оценки заявок;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информация о некоммерческих организациях, заявки которых были рассмотрены;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информация о некоммерческих организациях,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г) последовательность оценки заявок, присвоенные заявкам баллы по каждому из критериев, предусмотренных </w:t>
      </w:r>
      <w:hyperlink w:anchor="P96" w:history="1">
        <w:r>
          <w:rPr>
            <w:color w:val="0000FF"/>
          </w:rPr>
          <w:t>пунктом 11</w:t>
        </w:r>
      </w:hyperlink>
      <w:r>
        <w:t xml:space="preserve"> настоящих Правил, решение о присвоении заявкам порядковых номеров, принятое на основании результатов оценки заявок;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наименование получателя (получателей) субсидии, с которым заключается соглашение, и размер предоставляемой ему субсидии.</w:t>
      </w:r>
    </w:p>
    <w:p w:rsidR="00FE05EC" w:rsidRDefault="00FE05EC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>15. Субсидии предоставляются некоммерческим организациям в целях реализации творческих проектов на финансовое обеспечение следующих расходов: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оплата труда сотрудников некоммерческих организаций;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оплата аренды помещения, занимаемого некоммерческой организацией на время подготовки и проведения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оплата договоров на право показа и исполнения произведений, а также на передачу прав использования художественных произведений и аудиовизуальной продукции;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оплата работ (услуг) по обеспечению условий по приему и направлению участников творческих проектов и специалистов, привлекаемых к реализации творческих проектов, включая наем жилого помещения, проезд, питание, выездные документы, трансферты;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оплата обеспечения работ (услуг) по транспортировке выставочных экспонатов и оборудования, декораций, музыкальных инструментов, костюмов и иного имущества участников творческих проектов, включая услуги по обеспечению охраны и оформлению таможенных документов;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е) оплата работ (услуг) рекламно-информационного обеспечения, включая разработку и изготовление рекламно-полиграфической продукции, сувенирной продукции, информационно-методических, текстовых, фото- и видеоматериалов, размещение соответствующих материалов в средствах массовой информации и в сети "Интернет", создание и администрирование </w:t>
      </w:r>
      <w:proofErr w:type="spellStart"/>
      <w:r>
        <w:t>интернет-ресурсов</w:t>
      </w:r>
      <w:proofErr w:type="spellEnd"/>
      <w:r>
        <w:t>, мобильных приложений и других информационных продуктов;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lastRenderedPageBreak/>
        <w:t>ж) оплата работ (услуг) по организации персональной идентификации участников творческих проектов, включая регистрацию и аккредитацию;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з) оплата работ (услуг) по обеспечению творческих проектов декорациями, сценическими, экспозиционными и иными конструкциями (включая приобретение, аренду, изготовление, монтаж (демонтаж),</w:t>
      </w:r>
      <w:r w:rsidR="00056872">
        <w:t xml:space="preserve"> доставку, погрузку-разгрузку, </w:t>
      </w:r>
      <w:r>
        <w:t>обслуживание</w:t>
      </w:r>
      <w:r w:rsidR="00056872">
        <w:t xml:space="preserve"> </w:t>
      </w:r>
      <w:r w:rsidR="00056872" w:rsidRPr="00056872">
        <w:rPr>
          <w:highlight w:val="yellow"/>
        </w:rPr>
        <w:t>и утилизацию</w:t>
      </w:r>
      <w:r>
        <w:t>);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и) оплата работ (услуг) по обеспечению творческих проектов реквизитом, бутафорией, гримом, постижерскими изделиями, театральными куклами, сценическими костюмами, в том числе головными уборами и обувью, включая приобретение, аренду и изготовление;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к) оплата работ (услуг) по художественно-декорационному, рекламному и </w:t>
      </w:r>
      <w:proofErr w:type="spellStart"/>
      <w:r>
        <w:t>видеооформлению</w:t>
      </w:r>
      <w:proofErr w:type="spellEnd"/>
      <w:r>
        <w:t xml:space="preserve"> сценических площадок, территорий и помещений в связи с реализацией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л) оплата работ (услуг) по предоставлению </w:t>
      </w:r>
      <w:r w:rsidR="00B824DB" w:rsidRPr="00B824DB">
        <w:rPr>
          <w:highlight w:val="yellow"/>
        </w:rPr>
        <w:t>и обслуживанию</w:t>
      </w:r>
      <w:r w:rsidR="00B824DB">
        <w:t xml:space="preserve"> </w:t>
      </w:r>
      <w:r>
        <w:t>сценических и экспозиционных площадок и помещений для реализации творческих проектов, включая оплату аренды;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м) оплата работ (услуг) по обеспечению творческих проектов необходимым техническим (свет, звук, видео) и иным технологическим оборудованием, выставочным оборудованием, включая доставку, монтаж (демонтаж), упаковку-распаковку, погрузочно-разгрузочные работы и обслуживание;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н) оплата аренды музыкальных инструментов, необходимых для реализации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о) оплата работ (услуг) по организации онлайн-трансляций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п) оплата работ (услуг) по профессиональному сопровождению творческих проектов на иностранных языках;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р) оплата работ (услуг) и гонораров творческим работникам, творческим коллективам, специалистам, привлекаемым к реализации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с) оплата работ (услуг) по обеспечению безопасности при проведении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т) оплата работ (услуг) по подготовке нотного материала для проведения творческих проектов;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у) оплата работ (услуг) по обеспечению творческих проектов в сфере изобразительного искусства, включая выполнение дизайн-проекта экспозиции, создание концепции выставки, тематико-экспозиционного плана, оформление произведений в рамы и паспарту, оцифровку изображений, реставрацию произведений, страхование экспонатов, формирование экспозиционно-выставочного пространства, включая застройку экспозиции временными выставочными конструкциями, приобретение расходных материалов для экспозиции;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ф) уплата налогов, сборов и иных обязательных платежей в порядке, установленном законодательством Российс</w:t>
      </w:r>
      <w:r w:rsidR="00BE3288">
        <w:t>кой Федерации;</w:t>
      </w:r>
    </w:p>
    <w:p w:rsidR="00BE3288" w:rsidRDefault="00BE3288">
      <w:pPr>
        <w:pStyle w:val="ConsPlusNormal"/>
        <w:spacing w:before="220"/>
        <w:ind w:firstLine="540"/>
        <w:jc w:val="both"/>
      </w:pPr>
      <w:r>
        <w:t xml:space="preserve">х) </w:t>
      </w:r>
      <w:bookmarkStart w:id="12" w:name="_GoBack"/>
      <w:bookmarkEnd w:id="12"/>
      <w:r w:rsidRPr="00BE3288">
        <w:rPr>
          <w:highlight w:val="yellow"/>
        </w:rPr>
        <w:t>оплата работ (услуг) по звукозаписи музыкальных произведений.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16. Размер субсидии, предоставляемой некоммерческой организации (S), устанавливается на основании протокола экспертного совета с учетом перечня расходов, указанных в </w:t>
      </w:r>
      <w:hyperlink w:anchor="P110" w:history="1">
        <w:r>
          <w:rPr>
            <w:color w:val="0000FF"/>
          </w:rPr>
          <w:t>пункте 15</w:t>
        </w:r>
      </w:hyperlink>
      <w:r>
        <w:t xml:space="preserve"> настоящих Правил, и представленной некоммерческой организацией сметы расходов на реализацию творческих проектов в пределах лимитов бюджетных ассигнований, доведенных до Министерства культуры Российской Федерации как получателя средств федерального бюджета на цели,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настоящих Правил, определяется по формуле:</w:t>
      </w: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center"/>
      </w:pPr>
      <w:r>
        <w:t>S = Z - M,</w:t>
      </w: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ind w:firstLine="540"/>
        <w:jc w:val="both"/>
      </w:pPr>
      <w:r>
        <w:t>где: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Z - заявленная потребность на финансовое обеспечение расходов, связанных с реализацией творческого проекта;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M - объем привлеченных некоммерческой организацией средств в финансирование творческого проекта.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17. Предоставление субсидии осуществляется на основании настоящих Правил и соглашения, в том числе дополнительного соглашения, заключенного между Министерством культуры Российской Федерации и некоммерческой организацией в государственной интегрированной информационной системе управления общественными финансами "Электронный бюджет" в соответствии с типовой </w:t>
      </w:r>
      <w:hyperlink r:id="rId13" w:history="1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18. Основаниями для отказа некоммерческой организации в предоставлении субсидии являются: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а) несоответствие некоммерческой организации требованиям, указанным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некоммерческой организацией документов документам, указанным в </w:t>
      </w:r>
      <w:hyperlink w:anchor="P77" w:history="1">
        <w:r>
          <w:rPr>
            <w:color w:val="0000FF"/>
          </w:rPr>
          <w:t>пункте 8</w:t>
        </w:r>
      </w:hyperlink>
      <w:r>
        <w:t xml:space="preserve"> настоящих Правил, или непредставление (представление не в полном объеме) таких документов;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установление факта недостоверности представленной некоммерческой организацией информации;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несоответствие представленного творческого проекта целям, на реализацию которых предоставляется субсидия.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19. Соглашения заключаются в течение 30 рабочих дней со дня размещения на официальном сайте Министерства культуры Российской Федерации перечня получателей субсидий, утвержденного Министерством культуры Российской Федерации.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20. В соглашении в том числе предусматриваются: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перечень затрат, источником финансового обеспечения которых является субсидия;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размер субсидии и условия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в) целевое назначение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г) сроки перечисления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д) значения результата предоставления субсидии и показателей, необходимых для достижения результата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е)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культуры Российской Федерации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указанном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настоящих Правил и определенном в соглашении;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ж) обязанность Министерства культуры Российской Федерации проводить проверки </w:t>
      </w:r>
      <w:r>
        <w:lastRenderedPageBreak/>
        <w:t>соблюдения некоммерческой организацией целей, условий и порядка предоставления субсидий, которые установлены настоящими Правилами и соглашением;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з) порядок и сроки возврата некоммерческой организацией в федеральный бюджет полученных средств в случае нарушения условий, установленных при предоставлении субсидии, выявленного по результатам проверок, проведенных Министерством культуры Российской Федерации и органами государственного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результата предоставления субсидии, в том числе показателей, необходимых для достижения результата предоставления субсидии, установленных соглашением;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и)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к)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л) порядок и сроки представления отчетности об осуществлении расходов, источником финансового обеспечения которых является субсидия, а также отчетности о достижении значений результата предоставления субсидии, в том числе показателей, необходимых для достижения результата предоставления субсидии;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м) возможность направления остатка субсидии, не использованного на начало очередного финансового года, на те же цели при принятии Министерством культуры Российской Федерации по согласованию с Министерством финансов Российской Федерации в порядке, установленном Правительством Российской Федерации, соответствующего решения о наличии потребности в указанных средствах или возврате указанных средств при отсутствии в них потребности;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н) согласие некоммерческой организации на осуществление Министерством культуры Российской Федерации и органами государственного финансового контроля обязательных проверок соблюдения целей, условий и порядка предоставления субсидии, а также обязательство некоммерческой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указанных проверок;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о) возможность компенсации за счет средств субсидии затрат (части затрат) некоммерческой организации, предусмотренных </w:t>
      </w:r>
      <w:hyperlink w:anchor="P110" w:history="1">
        <w:r>
          <w:rPr>
            <w:color w:val="0000FF"/>
          </w:rPr>
          <w:t>пунктом 15</w:t>
        </w:r>
      </w:hyperlink>
      <w:r>
        <w:t xml:space="preserve"> настоящих Правил, источником финансового обеспечения которых является субсидия, фактически произведенных некоммерческой организацией из собственных средств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Правил, при представлении некоммерческой организацией в территориальный орган Федерального казначейства документов, подтверждающих осуществление некоммерческой организацией таких затрат (части затрат) и предусмотренных соглашением.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21. Перечисление субсидии осуществляется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 не позднее 2-го рабочего дня после представления в территориальный орган Федерального казначейства некоммерческой организацией распоряжений о совершении казначейских платежей для оплаты денежного обязательства некоммерческой организации.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22. Отчетность об осуществлении расходов, источником финансового обеспечения которых является субсидия, и о достижении значений результата и показателей, необходимых для </w:t>
      </w:r>
      <w:r>
        <w:lastRenderedPageBreak/>
        <w:t>достижения результата предоставления субсидии, представляется некоммерческой организацией в Министерство культуры Российской Федерации не позднее 20-го рабочего дня, следующего за отчетным годом, по формам, определенным типовой формой соглашения, установленной Министерством финансов Российской Федерации.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23. Министерство культуры Российской Федерации вправе устанавливать в соглашении формы, сроки и требования к дополнительной отчетности по предоставлению субсидии.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24. Министерство культуры Российской Федерации и органы государственного финансового контроля проводят обязательные проверки соблюдения некоммерческой организацией целей, условий и порядка предоставления субсидии.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 xml:space="preserve">25. В случае установления по итогам проверок, проведенных Министерством культуры Российской Федерации и (или) органами государственного финансового контроля фактов нарушения целей, условий и порядка предоставления субсидии и (или) </w:t>
      </w:r>
      <w:proofErr w:type="spellStart"/>
      <w:r>
        <w:t>недостижения</w:t>
      </w:r>
      <w:proofErr w:type="spellEnd"/>
      <w:r>
        <w:t xml:space="preserve"> установленных соглашением значений результата предоставления субсидии и показателей, необходимых для достижения результата предоставления субсидии, соответствующие средства подлежат возврату в федеральный бюджет: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а) на основании требования Министерства культуры Российской Федерации - не позднее 10-го рабочего дня со дня получения организацией указанного требования;</w:t>
      </w:r>
    </w:p>
    <w:p w:rsidR="00FE05EC" w:rsidRDefault="00FE05EC">
      <w:pPr>
        <w:pStyle w:val="ConsPlusNormal"/>
        <w:spacing w:before="220"/>
        <w:ind w:firstLine="540"/>
        <w:jc w:val="both"/>
      </w:pPr>
      <w: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jc w:val="both"/>
      </w:pPr>
    </w:p>
    <w:p w:rsidR="00FE05EC" w:rsidRDefault="00FE0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921" w:rsidRDefault="00317921"/>
    <w:sectPr w:rsidR="00317921" w:rsidSect="004A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EC"/>
    <w:rsid w:val="00056872"/>
    <w:rsid w:val="00317921"/>
    <w:rsid w:val="007D03BE"/>
    <w:rsid w:val="00A02A39"/>
    <w:rsid w:val="00B824DB"/>
    <w:rsid w:val="00BE3288"/>
    <w:rsid w:val="00CC1F56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085B"/>
  <w15:chartTrackingRefBased/>
  <w15:docId w15:val="{B791FA18-10EC-419F-B435-9EF2202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7DEE63E6915780B794F9C2986FBF96C0850CB1B39C1415BBDD2B036E48CBD01E27EA256D96CE57D03818B922FF2C830D1BDF8739BAA5459ZBG" TargetMode="External"/><Relationship Id="rId13" Type="http://schemas.openxmlformats.org/officeDocument/2006/relationships/hyperlink" Target="consultantplus://offline/ref=62A7DEE63E6915780B794F9C2986FBF96D0251C2173FC1415BBDD2B036E48CBD01E27EA256D96EE47B03818B922FF2C830D1BDF8739BAA5459Z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A7DEE63E6915780B794F9C2986FBF96F085EC91039C1415BBDD2B036E48CBD13E226AE54DB70E57B16D7DAD457ZBG" TargetMode="External"/><Relationship Id="rId12" Type="http://schemas.openxmlformats.org/officeDocument/2006/relationships/hyperlink" Target="consultantplus://offline/ref=62A7DEE63E6915780B794F9C2986FBF96D0151CD1236C1415BBDD2B036E48CBD01E27EA256D96EE47D03818B922FF2C830D1BDF8739BAA5459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7DEE63E6915780B794F9C2986FBF96D065ECF1536C1415BBDD2B036E48CBD01E27EA256D96EE57D03818B922FF2C830D1BDF8739BAA5459ZBG" TargetMode="External"/><Relationship Id="rId11" Type="http://schemas.openxmlformats.org/officeDocument/2006/relationships/hyperlink" Target="consultantplus://offline/ref=62A7DEE63E6915780B794F9C2986FBF96D005EC81239C1415BBDD2B036E48CBD01E27EA256D96DE67003818B922FF2C830D1BDF8739BAA5459ZBG" TargetMode="External"/><Relationship Id="rId5" Type="http://schemas.openxmlformats.org/officeDocument/2006/relationships/hyperlink" Target="consultantplus://offline/ref=62A7DEE63E6915780B794F9C2986FBF96D0551CA173EC1415BBDD2B036E48CBD01E27EA256D96EE57D03818B922FF2C830D1BDF8739BAA5459Z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A7DEE63E6915780B794F9C2986FBF96D0654C8153CC1415BBDD2B036E48CBD01E27EA256D066EE2C59918FDB78FDD432CCA3F96D9B5AZ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A7DEE63E6915780B794F9C2986FBF96D065ECF1536C1415BBDD2B036E48CBD01E27EA256D96EE57103818B922FF2C830D1BDF8739BAA5459Z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Алеся Владимировна</dc:creator>
  <cp:keywords/>
  <dc:description/>
  <cp:lastModifiedBy>Федосеева Виктория Романовна</cp:lastModifiedBy>
  <cp:revision>6</cp:revision>
  <cp:lastPrinted>2021-05-19T12:06:00Z</cp:lastPrinted>
  <dcterms:created xsi:type="dcterms:W3CDTF">2021-03-22T06:25:00Z</dcterms:created>
  <dcterms:modified xsi:type="dcterms:W3CDTF">2022-12-27T08:41:00Z</dcterms:modified>
</cp:coreProperties>
</file>