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Материалы для проведения Урока Памяти для педагогов </w:t>
      </w:r>
      <w:r/>
      <w:hyperlink r:id="rId9" w:tooltip="https://rdsh.education/27_eanvarya/" w:history="1">
        <w:r>
          <w:rPr>
            <w:rStyle w:val="172"/>
          </w:rPr>
          <w:t xml:space="preserve">https://rdsh.education/27_eanvarya/</w:t>
        </w:r>
        <w:r>
          <w:rPr>
            <w:rStyle w:val="172"/>
          </w:rPr>
        </w:r>
      </w:hyperlink>
      <w:r>
        <w:t xml:space="preserve">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rdsh.education/27_eanvar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Vpn Skm</cp:lastModifiedBy>
  <cp:revision>1</cp:revision>
  <dcterms:modified xsi:type="dcterms:W3CDTF">2022-01-13T13:36:24Z</dcterms:modified>
</cp:coreProperties>
</file>