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A15987">
      <w:pPr>
        <w:rPr>
          <w:rFonts w:ascii="sans-serif" w:hAnsi="sans-serif" w:eastAsia="sans-serif" w:cs="sans-serif"/>
          <w:i w:val="0"/>
          <w:iCs w:val="0"/>
          <w:caps w:val="0"/>
          <w:color w:val="282828"/>
          <w:spacing w:val="0"/>
          <w:sz w:val="21"/>
          <w:szCs w:val="21"/>
          <w:shd w:val="clear" w:fill="F4F4F4"/>
        </w:rPr>
      </w:pPr>
      <w:bookmarkStart w:id="0" w:name="_GoBack"/>
      <w:r>
        <w:rPr>
          <w:rFonts w:ascii="sans-serif" w:hAnsi="sans-serif" w:eastAsia="sans-serif" w:cs="sans-serif"/>
          <w:b/>
          <w:bCs/>
          <w:i w:val="0"/>
          <w:iCs w:val="0"/>
          <w:caps w:val="0"/>
          <w:color w:val="282828"/>
          <w:spacing w:val="0"/>
          <w:sz w:val="21"/>
          <w:szCs w:val="21"/>
          <w:shd w:val="clear" w:fill="FFFFFF"/>
        </w:rPr>
        <w:t> </w:t>
      </w:r>
      <w:r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282828"/>
          <w:spacing w:val="0"/>
          <w:sz w:val="36"/>
          <w:szCs w:val="36"/>
          <w:shd w:val="clear" w:fill="FFFFFF"/>
        </w:rPr>
        <w:t xml:space="preserve">Описание проблемы целевой группы, </w:t>
      </w:r>
      <w:bookmarkEnd w:id="0"/>
      <w:r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282828"/>
          <w:spacing w:val="0"/>
          <w:sz w:val="36"/>
          <w:szCs w:val="36"/>
          <w:shd w:val="clear" w:fill="FFFFFF"/>
        </w:rPr>
        <w:t>обоснование социальной значимости проекта </w:t>
      </w:r>
    </w:p>
    <w:p w14:paraId="34DA9C62">
      <w:pPr>
        <w:rPr>
          <w:rFonts w:ascii="sans-serif" w:hAnsi="sans-serif" w:eastAsia="sans-serif" w:cs="sans-serif"/>
          <w:i w:val="0"/>
          <w:iCs w:val="0"/>
          <w:caps w:val="0"/>
          <w:color w:val="282828"/>
          <w:spacing w:val="0"/>
          <w:sz w:val="21"/>
          <w:szCs w:val="21"/>
          <w:shd w:val="clear" w:fill="F4F4F4"/>
        </w:rPr>
      </w:pPr>
    </w:p>
    <w:p w14:paraId="09D2E6C8">
      <w:r>
        <w:rPr>
          <w:rFonts w:ascii="sans-serif" w:hAnsi="sans-serif" w:eastAsia="sans-serif" w:cs="sans-serif"/>
          <w:i w:val="0"/>
          <w:iCs w:val="0"/>
          <w:caps w:val="0"/>
          <w:color w:val="282828"/>
          <w:spacing w:val="0"/>
          <w:sz w:val="21"/>
          <w:szCs w:val="21"/>
          <w:shd w:val="clear" w:fill="F4F4F4"/>
        </w:rPr>
        <w:t>Ежегодно в Пермском крае образуется от 519 тыс. до 524 тыс. т мусора, который поступает на 20 полигонов, расположенных в разных муниципалитетах. Согласно нацпроекту «Экология», в котором участвует и Пермский край, к 2030 году сор</w:t>
      </w:r>
      <w:r>
        <w:rPr>
          <w:rFonts w:ascii="sans-serif" w:hAnsi="sans-serif" w:eastAsia="sans-serif" w:cs="sans-serif"/>
          <w:i w:val="0"/>
          <w:iCs w:val="0"/>
          <w:caps w:val="0"/>
          <w:color w:val="282828"/>
          <w:spacing w:val="0"/>
          <w:sz w:val="21"/>
          <w:szCs w:val="21"/>
          <w:shd w:val="clear" w:fill="F4F4F4"/>
        </w:rPr>
        <w:softHyphen/>
      </w:r>
      <w:r>
        <w:rPr>
          <w:rFonts w:ascii="sans-serif" w:hAnsi="sans-serif" w:eastAsia="sans-serif" w:cs="sans-serif"/>
          <w:i w:val="0"/>
          <w:iCs w:val="0"/>
          <w:caps w:val="0"/>
          <w:color w:val="282828"/>
          <w:spacing w:val="0"/>
          <w:sz w:val="21"/>
          <w:szCs w:val="21"/>
          <w:shd w:val="clear" w:fill="F4F4F4"/>
        </w:rPr>
        <w:t>тировку должны проходить 100% вырабатываемых отходов, а захоронению подвергаться не более 50% (</w:t>
      </w:r>
      <w:r>
        <w:rPr>
          <w:rFonts w:hint="default" w:ascii="sans-serif" w:hAnsi="sans-serif" w:eastAsia="sans-serif" w:cs="sans-serif"/>
          <w:i w:val="0"/>
          <w:iCs w:val="0"/>
          <w:caps w:val="0"/>
          <w:spacing w:val="0"/>
          <w:sz w:val="21"/>
          <w:szCs w:val="21"/>
          <w:u w:val="none"/>
          <w:bdr w:val="none" w:color="auto" w:sz="0" w:space="0"/>
        </w:rPr>
        <w:fldChar w:fldCharType="begin"/>
      </w:r>
      <w:r>
        <w:rPr>
          <w:rFonts w:hint="default" w:ascii="sans-serif" w:hAnsi="sans-serif" w:eastAsia="sans-serif" w:cs="sans-serif"/>
          <w:i w:val="0"/>
          <w:iCs w:val="0"/>
          <w:caps w:val="0"/>
          <w:spacing w:val="0"/>
          <w:sz w:val="21"/>
          <w:szCs w:val="21"/>
          <w:u w:val="none"/>
          <w:bdr w:val="none" w:color="auto" w:sz="0" w:space="0"/>
        </w:rPr>
        <w:instrText xml:space="preserve"> HYPERLINK "https://www.newsko.ru/articles/nk-7938133.html" \t "https://xn--80afcdbalict6afooklqi5o.xn--p1ai/application/_blank" </w:instrText>
      </w:r>
      <w:r>
        <w:rPr>
          <w:rFonts w:hint="default" w:ascii="sans-serif" w:hAnsi="sans-serif" w:eastAsia="sans-serif" w:cs="sans-serif"/>
          <w:i w:val="0"/>
          <w:iCs w:val="0"/>
          <w:caps w:val="0"/>
          <w:spacing w:val="0"/>
          <w:sz w:val="21"/>
          <w:szCs w:val="21"/>
          <w:u w:val="none"/>
          <w:bdr w:val="none" w:color="auto" w:sz="0" w:space="0"/>
        </w:rPr>
        <w:fldChar w:fldCharType="separate"/>
      </w:r>
      <w:r>
        <w:rPr>
          <w:rStyle w:val="4"/>
          <w:rFonts w:hint="default" w:ascii="sans-serif" w:hAnsi="sans-serif" w:eastAsia="sans-serif" w:cs="sans-serif"/>
          <w:i w:val="0"/>
          <w:iCs w:val="0"/>
          <w:caps w:val="0"/>
          <w:spacing w:val="0"/>
          <w:sz w:val="21"/>
          <w:szCs w:val="21"/>
          <w:u w:val="none"/>
          <w:bdr w:val="none" w:color="auto" w:sz="0" w:space="0"/>
        </w:rPr>
        <w:t>https://www.newsko.ru/articles/nk-7938133.html</w:t>
      </w:r>
      <w:r>
        <w:rPr>
          <w:rFonts w:hint="default" w:ascii="sans-serif" w:hAnsi="sans-serif" w:eastAsia="sans-serif" w:cs="sans-serif"/>
          <w:i w:val="0"/>
          <w:iCs w:val="0"/>
          <w:caps w:val="0"/>
          <w:spacing w:val="0"/>
          <w:sz w:val="21"/>
          <w:szCs w:val="21"/>
          <w:u w:val="none"/>
          <w:bdr w:val="none" w:color="auto" w:sz="0" w:space="0"/>
        </w:rPr>
        <w:fldChar w:fldCharType="end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282828"/>
          <w:spacing w:val="0"/>
          <w:sz w:val="21"/>
          <w:szCs w:val="21"/>
          <w:shd w:val="clear" w:fill="F4F4F4"/>
        </w:rPr>
        <w:t>).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282828"/>
          <w:spacing w:val="0"/>
          <w:sz w:val="21"/>
          <w:szCs w:val="21"/>
        </w:rPr>
        <w:br w:type="textWrapping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282828"/>
          <w:spacing w:val="0"/>
          <w:sz w:val="21"/>
          <w:szCs w:val="21"/>
          <w:shd w:val="clear" w:fill="F4F4F4"/>
        </w:rPr>
        <w:t>По состоянию на конец 2022 года доля отходов, направленных на обработку (сортировку), составляла 50,2%, на переработку - 12% (</w:t>
      </w:r>
      <w:r>
        <w:rPr>
          <w:rFonts w:hint="default" w:ascii="sans-serif" w:hAnsi="sans-serif" w:eastAsia="sans-serif" w:cs="sans-serif"/>
          <w:i w:val="0"/>
          <w:iCs w:val="0"/>
          <w:caps w:val="0"/>
          <w:spacing w:val="0"/>
          <w:sz w:val="21"/>
          <w:szCs w:val="21"/>
          <w:u w:val="none"/>
          <w:bdr w:val="none" w:color="auto" w:sz="0" w:space="0"/>
        </w:rPr>
        <w:fldChar w:fldCharType="begin"/>
      </w:r>
      <w:r>
        <w:rPr>
          <w:rFonts w:hint="default" w:ascii="sans-serif" w:hAnsi="sans-serif" w:eastAsia="sans-serif" w:cs="sans-serif"/>
          <w:i w:val="0"/>
          <w:iCs w:val="0"/>
          <w:caps w:val="0"/>
          <w:spacing w:val="0"/>
          <w:sz w:val="21"/>
          <w:szCs w:val="21"/>
          <w:u w:val="none"/>
          <w:bdr w:val="none" w:color="auto" w:sz="0" w:space="0"/>
        </w:rPr>
        <w:instrText xml:space="preserve"> HYPERLINK "https://tass.ru/ekonomika/19162069" \t "https://xn--80afcdbalict6afooklqi5o.xn--p1ai/application/_blank" </w:instrText>
      </w:r>
      <w:r>
        <w:rPr>
          <w:rFonts w:hint="default" w:ascii="sans-serif" w:hAnsi="sans-serif" w:eastAsia="sans-serif" w:cs="sans-serif"/>
          <w:i w:val="0"/>
          <w:iCs w:val="0"/>
          <w:caps w:val="0"/>
          <w:spacing w:val="0"/>
          <w:sz w:val="21"/>
          <w:szCs w:val="21"/>
          <w:u w:val="none"/>
          <w:bdr w:val="none" w:color="auto" w:sz="0" w:space="0"/>
        </w:rPr>
        <w:fldChar w:fldCharType="separate"/>
      </w:r>
      <w:r>
        <w:rPr>
          <w:rStyle w:val="4"/>
          <w:rFonts w:hint="default" w:ascii="sans-serif" w:hAnsi="sans-serif" w:eastAsia="sans-serif" w:cs="sans-serif"/>
          <w:i w:val="0"/>
          <w:iCs w:val="0"/>
          <w:caps w:val="0"/>
          <w:spacing w:val="0"/>
          <w:sz w:val="21"/>
          <w:szCs w:val="21"/>
          <w:u w:val="none"/>
          <w:bdr w:val="none" w:color="auto" w:sz="0" w:space="0"/>
        </w:rPr>
        <w:t>https://tass.ru/ekonomika/19162069</w:t>
      </w:r>
      <w:r>
        <w:rPr>
          <w:rFonts w:hint="default" w:ascii="sans-serif" w:hAnsi="sans-serif" w:eastAsia="sans-serif" w:cs="sans-serif"/>
          <w:i w:val="0"/>
          <w:iCs w:val="0"/>
          <w:caps w:val="0"/>
          <w:spacing w:val="0"/>
          <w:sz w:val="21"/>
          <w:szCs w:val="21"/>
          <w:u w:val="none"/>
          <w:bdr w:val="none" w:color="auto" w:sz="0" w:space="0"/>
        </w:rPr>
        <w:fldChar w:fldCharType="end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282828"/>
          <w:spacing w:val="0"/>
          <w:sz w:val="21"/>
          <w:szCs w:val="21"/>
          <w:shd w:val="clear" w:fill="F4F4F4"/>
        </w:rPr>
        <w:t>), что значительно ниже целевых показателей.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282828"/>
          <w:spacing w:val="0"/>
          <w:sz w:val="21"/>
          <w:szCs w:val="21"/>
        </w:rPr>
        <w:br w:type="textWrapping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282828"/>
          <w:spacing w:val="0"/>
          <w:sz w:val="21"/>
          <w:szCs w:val="21"/>
          <w:shd w:val="clear" w:fill="F4F4F4"/>
        </w:rPr>
        <w:t>Ситуация постепенно улучшается благодаря внедрению новых технологий, развитию инфраструктуры для сбора и переработки отходов, а также увеличению осведомленности населения о необходимости сортировки и утилизации. Однако для достижения более высоких показателей требуется еще много работы, включая улучшение законодательства и активное вовлечение граждан в процессы переработки.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282828"/>
          <w:spacing w:val="0"/>
          <w:sz w:val="21"/>
          <w:szCs w:val="21"/>
        </w:rPr>
        <w:br w:type="textWrapping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282828"/>
          <w:spacing w:val="0"/>
          <w:sz w:val="21"/>
          <w:szCs w:val="21"/>
          <w:shd w:val="clear" w:fill="F4F4F4"/>
        </w:rPr>
        <w:t>Вовлечение населения в процессы переработки отходов можно осуществить с помощью различных подходов: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282828"/>
          <w:spacing w:val="0"/>
          <w:sz w:val="21"/>
          <w:szCs w:val="21"/>
        </w:rPr>
        <w:br w:type="textWrapping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282828"/>
          <w:spacing w:val="0"/>
          <w:sz w:val="21"/>
          <w:szCs w:val="21"/>
          <w:shd w:val="clear" w:fill="F4F4F4"/>
        </w:rPr>
        <w:t>1. Организация образовательных программ: проведение семинаров, лекций и мастер-классов по сортировке и переработке отходов. Это поможет повысить осведомленность о важности переработки.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282828"/>
          <w:spacing w:val="0"/>
          <w:sz w:val="21"/>
          <w:szCs w:val="21"/>
        </w:rPr>
        <w:br w:type="textWrapping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282828"/>
          <w:spacing w:val="0"/>
          <w:sz w:val="21"/>
          <w:szCs w:val="21"/>
          <w:shd w:val="clear" w:fill="F4F4F4"/>
        </w:rPr>
        <w:t>2. Проведение информационных кампаний: использование социальных сетей, плакатов и видео для распространения информации о том, как правильно сортировать отходы и куда их сдавать.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282828"/>
          <w:spacing w:val="0"/>
          <w:sz w:val="21"/>
          <w:szCs w:val="21"/>
        </w:rPr>
        <w:br w:type="textWrapping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282828"/>
          <w:spacing w:val="0"/>
          <w:sz w:val="21"/>
          <w:szCs w:val="21"/>
          <w:shd w:val="clear" w:fill="F4F4F4"/>
        </w:rPr>
        <w:t>3. Использование систем поощрений: введение программ лояльности или наград за сдачу вторичных материалов, например, скидки в магазинах или участие в розыгрышах призов.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282828"/>
          <w:spacing w:val="0"/>
          <w:sz w:val="21"/>
          <w:szCs w:val="21"/>
        </w:rPr>
        <w:br w:type="textWrapping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282828"/>
          <w:spacing w:val="0"/>
          <w:sz w:val="21"/>
          <w:szCs w:val="21"/>
          <w:shd w:val="clear" w:fill="F4F4F4"/>
        </w:rPr>
        <w:t>4. Создание удобной инфраструктуры: установка контейнеров для раздельного сбора мусора в общественных местах и жилых районах, чтобы облегчить процесс сортировки для граждан.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282828"/>
          <w:spacing w:val="0"/>
          <w:sz w:val="21"/>
          <w:szCs w:val="21"/>
        </w:rPr>
        <w:br w:type="textWrapping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282828"/>
          <w:spacing w:val="0"/>
          <w:sz w:val="21"/>
          <w:szCs w:val="21"/>
          <w:shd w:val="clear" w:fill="F4F4F4"/>
        </w:rPr>
        <w:t>5. Волонтерские движения: организация акций по уборке и сортировке отходов, что поможет объединить людей вокруг общей цели и повысить их вовлеченность.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282828"/>
          <w:spacing w:val="0"/>
          <w:sz w:val="21"/>
          <w:szCs w:val="21"/>
        </w:rPr>
        <w:br w:type="textWrapping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282828"/>
          <w:spacing w:val="0"/>
          <w:sz w:val="21"/>
          <w:szCs w:val="21"/>
          <w:shd w:val="clear" w:fill="F4F4F4"/>
        </w:rPr>
        <w:t>6. Партнерство с бизнесом: сотрудничество с местными предприятиями для создания программ по переработке отходов и информирования сотрудников о важности этой практики.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282828"/>
          <w:spacing w:val="0"/>
          <w:sz w:val="21"/>
          <w:szCs w:val="21"/>
        </w:rPr>
        <w:br w:type="textWrapping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282828"/>
          <w:spacing w:val="0"/>
          <w:sz w:val="21"/>
          <w:szCs w:val="21"/>
          <w:shd w:val="clear" w:fill="F4F4F4"/>
        </w:rPr>
        <w:t>7. Интерактивные платформы: создание мобильных приложений или веб-сайтов, где жители могут отслеживать свои усилия по переработке, получать советы и делиться опытом.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282828"/>
          <w:spacing w:val="0"/>
          <w:sz w:val="21"/>
          <w:szCs w:val="21"/>
        </w:rPr>
        <w:br w:type="textWrapping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282828"/>
          <w:spacing w:val="0"/>
          <w:sz w:val="21"/>
          <w:szCs w:val="21"/>
          <w:shd w:val="clear" w:fill="F4F4F4"/>
        </w:rPr>
        <w:t>8. Демонстрация результатов: показ успешных примеров переработки в местных сообществах, чтобы вдохновить других на участие.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282828"/>
          <w:spacing w:val="0"/>
          <w:sz w:val="21"/>
          <w:szCs w:val="21"/>
        </w:rPr>
        <w:br w:type="textWrapping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282828"/>
          <w:spacing w:val="0"/>
          <w:sz w:val="21"/>
          <w:szCs w:val="21"/>
          <w:shd w:val="clear" w:fill="F4F4F4"/>
        </w:rPr>
        <w:t>Актуальность проекта по экологической грамотности для учеников 5-6 классов можно рассмотреть с нескольких ключевых аспектов: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282828"/>
          <w:spacing w:val="0"/>
          <w:sz w:val="21"/>
          <w:szCs w:val="21"/>
        </w:rPr>
        <w:br w:type="textWrapping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282828"/>
          <w:spacing w:val="0"/>
          <w:sz w:val="21"/>
          <w:szCs w:val="21"/>
          <w:shd w:val="clear" w:fill="F4F4F4"/>
        </w:rPr>
        <w:t>1.. Осознание экологических проблем.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282828"/>
          <w:spacing w:val="0"/>
          <w:sz w:val="21"/>
          <w:szCs w:val="21"/>
        </w:rPr>
        <w:br w:type="textWrapping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282828"/>
          <w:spacing w:val="0"/>
          <w:sz w:val="21"/>
          <w:szCs w:val="21"/>
          <w:shd w:val="clear" w:fill="F4F4F4"/>
        </w:rPr>
        <w:t>Знакомство с проблемами: В этом возрасте дети начинают осознавать важность экологии и глобальных проблем, таких как изменение климата, загрязнение окружающей среды и исчезновение видов.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282828"/>
          <w:spacing w:val="0"/>
          <w:sz w:val="21"/>
          <w:szCs w:val="21"/>
        </w:rPr>
        <w:br w:type="textWrapping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282828"/>
          <w:spacing w:val="0"/>
          <w:sz w:val="21"/>
          <w:szCs w:val="21"/>
          <w:shd w:val="clear" w:fill="F4F4F4"/>
        </w:rPr>
        <w:t>Формирование критического мышления: Проект помогает развивать навыки анализа и критического мышления, позволяя ученикам понимать причины и последствия экологических проблем.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282828"/>
          <w:spacing w:val="0"/>
          <w:sz w:val="21"/>
          <w:szCs w:val="21"/>
        </w:rPr>
        <w:br w:type="textWrapping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282828"/>
          <w:spacing w:val="0"/>
          <w:sz w:val="21"/>
          <w:szCs w:val="21"/>
          <w:shd w:val="clear" w:fill="F4F4F4"/>
        </w:rPr>
        <w:t>2. Формирование ответственного поведения.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282828"/>
          <w:spacing w:val="0"/>
          <w:sz w:val="21"/>
          <w:szCs w:val="21"/>
        </w:rPr>
        <w:br w:type="textWrapping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282828"/>
          <w:spacing w:val="0"/>
          <w:sz w:val="21"/>
          <w:szCs w:val="21"/>
          <w:shd w:val="clear" w:fill="F4F4F4"/>
        </w:rPr>
        <w:t>Личные привычки: Уроки экологической грамотности учат детей ответственному отношению к ресурсам (вода, энергия) и способам их экономии.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282828"/>
          <w:spacing w:val="0"/>
          <w:sz w:val="21"/>
          <w:szCs w:val="21"/>
        </w:rPr>
        <w:br w:type="textWrapping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282828"/>
          <w:spacing w:val="0"/>
          <w:sz w:val="21"/>
          <w:szCs w:val="21"/>
          <w:shd w:val="clear" w:fill="F4F4F4"/>
        </w:rPr>
        <w:t>Участие в решении проблем: Дети учатся принимать участие в экологических акциях, что формирует у них чувство ответственности за окружающую среду.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282828"/>
          <w:spacing w:val="0"/>
          <w:sz w:val="21"/>
          <w:szCs w:val="21"/>
        </w:rPr>
        <w:br w:type="textWrapping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282828"/>
          <w:spacing w:val="0"/>
          <w:sz w:val="21"/>
          <w:szCs w:val="21"/>
          <w:shd w:val="clear" w:fill="F4F4F4"/>
        </w:rPr>
        <w:t>3. Развитие навыков сотрудничества.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282828"/>
          <w:spacing w:val="0"/>
          <w:sz w:val="21"/>
          <w:szCs w:val="21"/>
        </w:rPr>
        <w:br w:type="textWrapping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282828"/>
          <w:spacing w:val="0"/>
          <w:sz w:val="21"/>
          <w:szCs w:val="21"/>
          <w:shd w:val="clear" w:fill="F4F4F4"/>
        </w:rPr>
        <w:t>Работа в команде: Проект может включать групповые задания и акции, что способствует развитию навыков работы в команде и взаимодействия с другими.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282828"/>
          <w:spacing w:val="0"/>
          <w:sz w:val="21"/>
          <w:szCs w:val="21"/>
        </w:rPr>
        <w:br w:type="textWrapping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282828"/>
          <w:spacing w:val="0"/>
          <w:sz w:val="21"/>
          <w:szCs w:val="21"/>
          <w:shd w:val="clear" w:fill="F4F4F4"/>
        </w:rPr>
        <w:t>Обмен опытом: Учащиеся могут делиться своими идеями и находками по улучшению экологической ситуации в своем районе.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282828"/>
          <w:spacing w:val="0"/>
          <w:sz w:val="21"/>
          <w:szCs w:val="21"/>
        </w:rPr>
        <w:br w:type="textWrapping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282828"/>
          <w:spacing w:val="0"/>
          <w:sz w:val="21"/>
          <w:szCs w:val="21"/>
          <w:shd w:val="clear" w:fill="F4F4F4"/>
        </w:rPr>
        <w:t>4. Подготовка к будущему.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282828"/>
          <w:spacing w:val="0"/>
          <w:sz w:val="21"/>
          <w:szCs w:val="21"/>
        </w:rPr>
        <w:br w:type="textWrapping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282828"/>
          <w:spacing w:val="0"/>
          <w:sz w:val="21"/>
          <w:szCs w:val="21"/>
          <w:shd w:val="clear" w:fill="F4F4F4"/>
        </w:rPr>
        <w:t>Экологическая грамотность как основа будущих решений: Понимание экологии и устойчивого развития станет важным для будущих поколений, которые столкнутся с серьезными вызовами.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282828"/>
          <w:spacing w:val="0"/>
          <w:sz w:val="21"/>
          <w:szCs w:val="21"/>
        </w:rPr>
        <w:br w:type="textWrapping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282828"/>
          <w:spacing w:val="0"/>
          <w:sz w:val="21"/>
          <w:szCs w:val="21"/>
          <w:shd w:val="clear" w:fill="F4F4F4"/>
        </w:rPr>
        <w:t>Карьера в области экологии: Раннее знакомство с экологическими вопросами может вдохновить детей на выбор карьеры в этой области.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282828"/>
          <w:spacing w:val="0"/>
          <w:sz w:val="21"/>
          <w:szCs w:val="21"/>
        </w:rPr>
        <w:br w:type="textWrapping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282828"/>
          <w:spacing w:val="0"/>
          <w:sz w:val="21"/>
          <w:szCs w:val="21"/>
          <w:shd w:val="clear" w:fill="F4F4F4"/>
        </w:rPr>
        <w:t>5. Воспитание ценностей.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282828"/>
          <w:spacing w:val="0"/>
          <w:sz w:val="21"/>
          <w:szCs w:val="21"/>
        </w:rPr>
        <w:br w:type="textWrapping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282828"/>
          <w:spacing w:val="0"/>
          <w:sz w:val="21"/>
          <w:szCs w:val="21"/>
          <w:shd w:val="clear" w:fill="F4F4F4"/>
        </w:rPr>
        <w:t>Сохранение природы: Проект способствует формированию ценностей, связанных с уважением к природе и заботой о ней.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282828"/>
          <w:spacing w:val="0"/>
          <w:sz w:val="21"/>
          <w:szCs w:val="21"/>
        </w:rPr>
        <w:br w:type="textWrapping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282828"/>
          <w:spacing w:val="0"/>
          <w:sz w:val="21"/>
          <w:szCs w:val="21"/>
          <w:shd w:val="clear" w:fill="F4F4F4"/>
        </w:rPr>
        <w:t>Устойчивое развитие: Ученики учатся принципам устойчивого развития и важности сохранения ресурсов для будущих поколений.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282828"/>
          <w:spacing w:val="0"/>
          <w:sz w:val="21"/>
          <w:szCs w:val="21"/>
        </w:rPr>
        <w:br w:type="textWrapping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282828"/>
          <w:spacing w:val="0"/>
          <w:sz w:val="21"/>
          <w:szCs w:val="21"/>
          <w:shd w:val="clear" w:fill="F4F4F4"/>
        </w:rPr>
        <w:t>6. Интеграция учебных предметов.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282828"/>
          <w:spacing w:val="0"/>
          <w:sz w:val="21"/>
          <w:szCs w:val="21"/>
        </w:rPr>
        <w:br w:type="textWrapping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282828"/>
          <w:spacing w:val="0"/>
          <w:sz w:val="21"/>
          <w:szCs w:val="21"/>
          <w:shd w:val="clear" w:fill="F4F4F4"/>
        </w:rPr>
        <w:t>Междисциплинарный подход: Экологическая грамотность может быть связана с различными предметами (наука, география, искусство), что делает обучение более интересным и разнообразным.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282828"/>
          <w:spacing w:val="0"/>
          <w:sz w:val="21"/>
          <w:szCs w:val="21"/>
        </w:rPr>
        <w:br w:type="textWrapping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282828"/>
          <w:spacing w:val="0"/>
          <w:sz w:val="21"/>
          <w:szCs w:val="21"/>
          <w:shd w:val="clear" w:fill="F4F4F4"/>
        </w:rPr>
        <w:t>Практическое применение знаний: Проект может включать практические задания, такие как создание садов, участие в уборках или исследование местной флоры и фауны.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282828"/>
          <w:spacing w:val="0"/>
          <w:sz w:val="21"/>
          <w:szCs w:val="21"/>
        </w:rPr>
        <w:br w:type="textWrapping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282828"/>
          <w:spacing w:val="0"/>
          <w:sz w:val="21"/>
          <w:szCs w:val="21"/>
          <w:shd w:val="clear" w:fill="F4F4F4"/>
        </w:rPr>
        <w:t>Таким образом, проект по экологической грамотности для учеников 5-6 классов является актуальным и необходимым, так как он способствует формированию ответственного отношения к окружающей среде, развитию критического мышления и навыков сотрудничества, а также подготовке детей к будущим вызовам в области экологии.</w:t>
      </w: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5A36B0E"/>
    <w:rsid w:val="65A36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Office_12.2.0.19826_F1E327BC-269C-435d-A152-05C5408002CA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2025-01-28T12:23:00Z</dcterms:created>
  <dc:creator>Гульсина Тютина</dc:creator>
  <cp:lastModifiedBy>Гульсина Тютина</cp:lastModifiedBy>
  <dcterms:modified xsi:type="dcterms:W3CDTF">2025-01-28T12:24:19Z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1049-12.2.0.19826</vt:lpwstr>
  </property>
  <property fmtid="{D5CDD505-2E9C-101B-9397-08002B2CF9AE}" pid="3" name="ICV">
    <vt:lpwstr>8E5EF1BA1A3246B89CB92A602E9A152D_11</vt:lpwstr>
  </property>
</Properties>
</file>