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00" w:rsidRDefault="003F5F68" w:rsidP="0082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А</w:t>
      </w:r>
      <w:r w:rsidR="0052613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нонс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(полный бизнес-план будет предоставлен по требованию)</w:t>
      </w:r>
    </w:p>
    <w:p w:rsidR="00820E00" w:rsidRDefault="00820E00" w:rsidP="0082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777E6" w:rsidRDefault="001777E6" w:rsidP="0082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777E6" w:rsidRDefault="001777E6" w:rsidP="0082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777E6" w:rsidRDefault="001777E6" w:rsidP="0082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D7D6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БИЗНЕС ПЛАН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ПРОЕКТА</w:t>
      </w: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«Мост в будущее</w:t>
      </w:r>
      <w:proofErr w:type="gramStart"/>
      <w:r w:rsidR="007C1EE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. </w:t>
      </w:r>
      <w:proofErr w:type="gramEnd"/>
      <w:r w:rsidR="007C1EE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Наставники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» - сопровождение выпускников детских домов и замещающих сем</w:t>
      </w:r>
      <w:r w:rsidR="007C1EE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ей по технологии наставничества</w:t>
      </w: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20E00" w:rsidRPr="00CD7D6B" w:rsidRDefault="00820E00" w:rsidP="0082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Ханты-Мансийск 2019</w:t>
      </w:r>
    </w:p>
    <w:p w:rsidR="00820E00" w:rsidRDefault="00820E00" w:rsidP="00820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A3E15" w:rsidRDefault="003A3E15"/>
    <w:p w:rsidR="00820E00" w:rsidRPr="00820E00" w:rsidRDefault="00820E00" w:rsidP="00820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Автор: Шалам</w:t>
      </w:r>
      <w:bookmarkStart w:id="0" w:name="_GoBack"/>
      <w:bookmarkEnd w:id="0"/>
      <w:r w:rsidRPr="00820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 Андрей Владимирович (моб. 89129024570)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797"/>
      </w:tblGrid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613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«Мост в будущее</w:t>
            </w:r>
            <w:r w:rsidR="007C1E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Наставники</w:t>
            </w:r>
            <w:r w:rsidRPr="00820E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- сопровождение выпускников детских домов и замещающих семей по технологии наставничества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Идея проекта</w:t>
            </w:r>
          </w:p>
        </w:tc>
        <w:tc>
          <w:tcPr>
            <w:tcW w:w="3613" w:type="pct"/>
            <w:vAlign w:val="center"/>
            <w:hideMark/>
          </w:tcPr>
          <w:p w:rsid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356A" w:rsidRP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- обеспечить успешное жизнеустройство выпускников детских домов и замещающих семей </w:t>
            </w:r>
            <w:r w:rsidRPr="0092356A">
              <w:rPr>
                <w:rFonts w:ascii="Times New Roman" w:hAnsi="Times New Roman"/>
                <w:sz w:val="24"/>
                <w:szCs w:val="24"/>
              </w:rPr>
              <w:t>путем:</w:t>
            </w:r>
          </w:p>
          <w:p w:rsidR="0092356A" w:rsidRP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356A">
              <w:rPr>
                <w:rFonts w:ascii="Times New Roman" w:hAnsi="Times New Roman"/>
                <w:sz w:val="24"/>
                <w:szCs w:val="24"/>
              </w:rPr>
              <w:t xml:space="preserve">привлечения жителей региона к активному участию в решении этой социальной проблемы </w:t>
            </w:r>
          </w:p>
          <w:p w:rsidR="0092356A" w:rsidRP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356A">
              <w:rPr>
                <w:rFonts w:ascii="Times New Roman" w:hAnsi="Times New Roman"/>
                <w:sz w:val="24"/>
                <w:szCs w:val="24"/>
              </w:rPr>
              <w:t>создания негосударственной региональной системы долгосрочного сопровождения и поддержки выпускников</w:t>
            </w:r>
          </w:p>
          <w:p w:rsid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356A" w:rsidRP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6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  <w:r w:rsidRPr="009235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356A" w:rsidRPr="0092356A" w:rsidRDefault="0092356A" w:rsidP="0092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56A">
              <w:rPr>
                <w:rFonts w:ascii="Times New Roman" w:hAnsi="Times New Roman"/>
                <w:sz w:val="24"/>
                <w:szCs w:val="24"/>
              </w:rPr>
              <w:t>создание позитивного социального окружения выпускника через формирование устойчивых пар «наставник – выпускник» и расширение сферы благоприятных контактов</w:t>
            </w:r>
          </w:p>
          <w:p w:rsidR="0092356A" w:rsidRDefault="0092356A" w:rsidP="00614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E00" w:rsidRPr="00820E00" w:rsidRDefault="00820E00" w:rsidP="0061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спешная социализация и эффективная самореализация молодых людей во взрослой жизни, в том числе путем участия в волонтерских проектах. 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к идее проекта</w:t>
            </w:r>
          </w:p>
        </w:tc>
        <w:tc>
          <w:tcPr>
            <w:tcW w:w="3613" w:type="pct"/>
            <w:vAlign w:val="center"/>
          </w:tcPr>
          <w:p w:rsidR="00820E00" w:rsidRP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Ежегодно в Югре выпускаются во взрослую жизнь свыше 300 детей-сирот. Количество выпускников детских домов и замещающих семей в регионе в возрасте от 18 до 23 лет (благополучателей проекта) составляет около 1,5 тысяч человек. </w:t>
            </w:r>
          </w:p>
          <w:p w:rsidR="00820E00" w:rsidRP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0E00" w:rsidRDefault="003F5F68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20E00"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отсутствует системный мониторинг </w:t>
            </w:r>
            <w:r w:rsid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адаптации</w:t>
            </w:r>
            <w:r w:rsidR="00820E00"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детей-сирот после выпуска. </w:t>
            </w:r>
            <w:r w:rsid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разным данным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820E00"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 выпускников детских домов успешно адаптируются к жизни в обществе. Остальные постепенно опускаются по социальной лестнице</w:t>
            </w:r>
            <w:r w:rsid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0E00" w:rsidRP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кономическая эффективность государственных затрат (свыше 3 млрд. рублей в год на меры поддержки детей-сирот в Югре</w:t>
            </w:r>
            <w:r w:rsidR="003F5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 поддержку детей-сирот с учетом их дальнейшей</w:t>
            </w:r>
            <w:r w:rsidR="003F5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жизненной траектории –невысока и может быть существенно увеличена.</w:t>
            </w:r>
          </w:p>
          <w:p w:rsidR="00820E00" w:rsidRP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0E00" w:rsidRP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2019 году мы планируем создать и сопроводить 25 пар, в 2020 году – 50 пар, в 2021 году – 60 пар. Таким образом, в проекте будут постоянно находиться и получать поддержку около 100 пар, что составит около 7% выпускников в возрасте от 18 до 23 лет.</w:t>
            </w:r>
          </w:p>
          <w:p w:rsidR="00820E00" w:rsidRPr="00820E00" w:rsidRDefault="00820E00" w:rsidP="00820E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0E00" w:rsidRPr="00820E00" w:rsidRDefault="00820E00" w:rsidP="00923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Экономический эффект от реализации проекта возможно оценивать по объему валового регионального продукта (ВРП), создаваемого успешно жизнеустроенными (трудоустроенными) выпускниками. При этом использовать данные Росстата по ВРП на душу населения - в 2017 году ВРП на душу населения в Югре составил 2,13 млн. рублей. </w:t>
            </w:r>
            <w:r w:rsidR="00923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этом с</w:t>
            </w: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реднегодовые затраты на сопровождения одного выпускника в проекте составляют </w:t>
            </w:r>
            <w:r w:rsidR="009235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  <w:r w:rsidRPr="00820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38,3 тыс. рублей.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продукта и/или услуги</w:t>
            </w:r>
          </w:p>
        </w:tc>
        <w:tc>
          <w:tcPr>
            <w:tcW w:w="3613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благоприятной социальной среды для позитивного развития и жизнеустройства путем формирования психологически-совместимой пары «наставник – выпускник» («старший - младший») и осуществление наставнической работы старшим волонтером в отношении младшего подопечного. В результате выпускник успешно адаптируется в новой социальной среде и получает навыки самостоятельной взрослой жизни.</w:t>
            </w: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воздействие осуществляется через совместную деятельность (культурную, трудовую, развлекательную, воспитательную) и общение в парах. Период совместной деятельности пары «наставник – выпускник» не менее 1 года с периодичностью встреч раз в неделю продолжительностью по два часа.</w:t>
            </w: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Наставник проходит предварительное специальное обучение для работы в проекте. По мере взаимодействия в парах участникам проекта оказывается методологическая и практическая помощь со стороны психолога и социального педагога (тьюторов) для решения возникающих вопросов. Кроме того, с волонтерами проекта ежемесячно проводятся обучающие и мотивирующие тренинги. </w:t>
            </w: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Обязательные общие для выпускников и наставников событийные и </w:t>
            </w:r>
            <w:proofErr w:type="spellStart"/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также способствуют достижению цели проекта.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компании (с указанием организационно-правовой формы)</w:t>
            </w:r>
          </w:p>
        </w:tc>
        <w:tc>
          <w:tcPr>
            <w:tcW w:w="3613" w:type="pct"/>
            <w:vAlign w:val="center"/>
            <w:hideMark/>
          </w:tcPr>
          <w:p w:rsidR="00820E00" w:rsidRDefault="003F5F68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Предполагается, что проект будет реализован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создаваемой а</w:t>
            </w:r>
            <w:r w:rsidR="00820E00"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втономн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820E00"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820E00"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20E00"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молодежи и поддержки добровольчества «СВОИ ЛЮДИ» (находится на регистрации в Минюсте, предварительно озвучен плановый срок регистрации 21 июня 2019 года)</w:t>
            </w:r>
          </w:p>
          <w:p w:rsid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составляющая проекта. Решение проблем в сферах</w:t>
            </w:r>
          </w:p>
        </w:tc>
        <w:tc>
          <w:tcPr>
            <w:tcW w:w="3613" w:type="pct"/>
            <w:vAlign w:val="center"/>
          </w:tcPr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воздействие:</w:t>
            </w:r>
          </w:p>
          <w:p w:rsidR="003F5F68" w:rsidRDefault="00820E00" w:rsidP="003F5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защита </w:t>
            </w:r>
            <w:r w:rsidR="003F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гражданско-патриотическое воспитание </w:t>
            </w: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и молодых людей, находящихся в сложной жизненной ситуации</w:t>
            </w:r>
            <w:r w:rsidR="003F5F68"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5F68" w:rsidRPr="00820E00" w:rsidRDefault="003F5F68" w:rsidP="003F5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развитие волонтерства (добровольчества)</w:t>
            </w: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 дополнительное образование и профориентация</w:t>
            </w: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гражданского</w:t>
            </w:r>
            <w:r w:rsidRPr="00820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к разделу "Социальная составляющая проекта"</w:t>
            </w:r>
          </w:p>
        </w:tc>
        <w:tc>
          <w:tcPr>
            <w:tcW w:w="3613" w:type="pct"/>
            <w:vAlign w:val="center"/>
          </w:tcPr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составляющая проекта – адаптация учащихся и выпускников детских домов от 16 до 23 лет к жизни в современном российском обществе, развитие высоких моральных, творческих, лидерских и иных общественно - полезных качеств, формирование ответственной гражданской позиции, осуществление патриотического воспитания и профессиональной ориентации, содействие в трудоустройстве. </w:t>
            </w:r>
          </w:p>
          <w:p w:rsidR="00820E00" w:rsidRPr="00820E00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технология – сопровождение и поддержка выпускников социально-зрелыми волонтерами возрастом от 30 лет, подобранными персонально с использованием методов психологической совместимости, имеющими подтверждённый рекомендациями необходимые жизненный опыт</w:t>
            </w:r>
            <w:r w:rsidRPr="00820E00">
              <w:rPr>
                <w:rFonts w:ascii="Times New Roman" w:hAnsi="Times New Roman"/>
                <w:sz w:val="24"/>
                <w:szCs w:val="24"/>
              </w:rPr>
              <w:t xml:space="preserve"> и знания, реализующими свою волю и духовную потребность в оказании положительного влияния на развитие, помощи и содействия лицам, испытывающим затруднения в жизнеустройстве.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Инновационность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00" w:rsidRPr="00820E00" w:rsidRDefault="00820E00" w:rsidP="003F5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00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92356A">
              <w:rPr>
                <w:rFonts w:ascii="Times New Roman" w:hAnsi="Times New Roman"/>
                <w:sz w:val="24"/>
                <w:szCs w:val="24"/>
              </w:rPr>
              <w:t xml:space="preserve">системных </w:t>
            </w:r>
            <w:r w:rsidRPr="00820E00">
              <w:rPr>
                <w:rFonts w:ascii="Times New Roman" w:hAnsi="Times New Roman"/>
                <w:sz w:val="24"/>
                <w:szCs w:val="24"/>
              </w:rPr>
              <w:t>аналогов в регионе, готовность команды решать проблему</w:t>
            </w:r>
            <w:r w:rsidR="0092356A">
              <w:rPr>
                <w:rFonts w:ascii="Times New Roman" w:hAnsi="Times New Roman"/>
                <w:sz w:val="24"/>
                <w:szCs w:val="24"/>
              </w:rPr>
              <w:t xml:space="preserve">, основной ресурс – гражданское общество </w:t>
            </w:r>
            <w:r w:rsidR="0092356A" w:rsidRPr="0092356A">
              <w:rPr>
                <w:rFonts w:ascii="Times New Roman" w:hAnsi="Times New Roman"/>
                <w:sz w:val="24"/>
                <w:szCs w:val="24"/>
              </w:rPr>
              <w:t xml:space="preserve">(модель волонтерство + </w:t>
            </w:r>
            <w:proofErr w:type="spellStart"/>
            <w:r w:rsidR="003F5F68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="0092356A" w:rsidRPr="0092356A">
              <w:rPr>
                <w:rFonts w:ascii="Times New Roman" w:hAnsi="Times New Roman"/>
                <w:sz w:val="24"/>
                <w:szCs w:val="24"/>
              </w:rPr>
              <w:t>)</w:t>
            </w:r>
            <w:r w:rsidRPr="00820E00">
              <w:rPr>
                <w:rFonts w:ascii="Times New Roman" w:hAnsi="Times New Roman"/>
                <w:sz w:val="24"/>
                <w:szCs w:val="24"/>
              </w:rPr>
              <w:t>. Построение равноправных отношений в парах, равноценный обмен ресурсами с наставником и обществом</w:t>
            </w:r>
          </w:p>
        </w:tc>
      </w:tr>
      <w:tr w:rsidR="00820E00" w:rsidRPr="00820E00" w:rsidTr="00820E00">
        <w:trPr>
          <w:tblCellSpacing w:w="15" w:type="dxa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00" w:rsidRPr="00820E00" w:rsidRDefault="00820E00" w:rsidP="001777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к разделу «Инновационность»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6A" w:rsidRPr="00820E00" w:rsidRDefault="00820E00" w:rsidP="0092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00">
              <w:rPr>
                <w:rFonts w:ascii="Times New Roman" w:hAnsi="Times New Roman"/>
                <w:sz w:val="24"/>
                <w:szCs w:val="24"/>
              </w:rPr>
              <w:t>Важным аспектом проекта является привлечение благополучателей к участию в других волонтерских проектах, тем самым выпускники будут «возвращать» обществу заботу и внимание. Обмен ресурсами между выпускниками и обществом, в том числе наставником, станет равноценным, что обеспечит равные отношения между состоявшимися членами общества и выпускником</w:t>
            </w:r>
          </w:p>
        </w:tc>
      </w:tr>
    </w:tbl>
    <w:p w:rsidR="001777E6" w:rsidRDefault="001777E6" w:rsidP="00820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20E00" w:rsidRPr="00820E00" w:rsidRDefault="00820E00" w:rsidP="00820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0E0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Ключевые финансовые показатели проекта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12"/>
      </w:tblGrid>
      <w:tr w:rsidR="003F5F68" w:rsidRPr="00820E00" w:rsidTr="003F5F68">
        <w:trPr>
          <w:trHeight w:val="673"/>
          <w:tblCellSpacing w:w="0" w:type="dxa"/>
          <w:jc w:val="center"/>
        </w:trPr>
        <w:tc>
          <w:tcPr>
            <w:tcW w:w="3335" w:type="pct"/>
            <w:vAlign w:val="center"/>
            <w:hideMark/>
          </w:tcPr>
          <w:p w:rsidR="003F5F68" w:rsidRPr="00820E00" w:rsidRDefault="003F5F68" w:rsidP="0082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Ключевые финансовые показатели проекта </w:t>
            </w:r>
            <w:r w:rsidRPr="00820E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 первый год)</w:t>
            </w:r>
          </w:p>
        </w:tc>
        <w:tc>
          <w:tcPr>
            <w:tcW w:w="1665" w:type="pct"/>
            <w:vAlign w:val="center"/>
            <w:hideMark/>
          </w:tcPr>
          <w:p w:rsidR="003F5F68" w:rsidRPr="00820E00" w:rsidRDefault="003F5F68" w:rsidP="0082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реалистичному сценарию</w:t>
            </w:r>
          </w:p>
        </w:tc>
      </w:tr>
      <w:tr w:rsidR="003F5F68" w:rsidRPr="00820E00" w:rsidTr="003F5F68">
        <w:trPr>
          <w:trHeight w:val="318"/>
          <w:tblCellSpacing w:w="0" w:type="dxa"/>
          <w:jc w:val="center"/>
        </w:trPr>
        <w:tc>
          <w:tcPr>
            <w:tcW w:w="3335" w:type="pct"/>
            <w:vAlign w:val="center"/>
          </w:tcPr>
          <w:p w:rsidR="003F5F68" w:rsidRPr="00820E00" w:rsidRDefault="003F5F68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Инвестиционные расходы, тыс. руб.</w:t>
            </w:r>
          </w:p>
        </w:tc>
        <w:tc>
          <w:tcPr>
            <w:tcW w:w="1665" w:type="pct"/>
            <w:vAlign w:val="center"/>
          </w:tcPr>
          <w:p w:rsidR="003F5F68" w:rsidRPr="00820E00" w:rsidRDefault="003F5F68" w:rsidP="0082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65,0 </w:t>
            </w:r>
          </w:p>
        </w:tc>
      </w:tr>
      <w:tr w:rsidR="003F5F68" w:rsidRPr="00820E00" w:rsidTr="003F5F68">
        <w:trPr>
          <w:trHeight w:val="318"/>
          <w:tblCellSpacing w:w="0" w:type="dxa"/>
          <w:jc w:val="center"/>
        </w:trPr>
        <w:tc>
          <w:tcPr>
            <w:tcW w:w="3335" w:type="pct"/>
            <w:vAlign w:val="center"/>
          </w:tcPr>
          <w:p w:rsidR="003F5F68" w:rsidRPr="00820E00" w:rsidRDefault="003F5F68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Выручка, тыс. руб. </w:t>
            </w:r>
          </w:p>
        </w:tc>
        <w:tc>
          <w:tcPr>
            <w:tcW w:w="1665" w:type="pct"/>
            <w:vAlign w:val="center"/>
          </w:tcPr>
          <w:p w:rsidR="003F5F68" w:rsidRPr="00820E00" w:rsidRDefault="003F5F68" w:rsidP="0082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F5F68" w:rsidRPr="00820E00" w:rsidTr="003F5F68">
        <w:trPr>
          <w:trHeight w:val="318"/>
          <w:tblCellSpacing w:w="0" w:type="dxa"/>
          <w:jc w:val="center"/>
        </w:trPr>
        <w:tc>
          <w:tcPr>
            <w:tcW w:w="3335" w:type="pct"/>
            <w:vAlign w:val="center"/>
          </w:tcPr>
          <w:p w:rsidR="003F5F68" w:rsidRPr="00820E00" w:rsidRDefault="003F5F68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Необходимый денежный поток от финансовой деятельности (невозвратное финансирование) для достижение запланированных показателей, тыс. руб.</w:t>
            </w:r>
          </w:p>
        </w:tc>
        <w:tc>
          <w:tcPr>
            <w:tcW w:w="1665" w:type="pct"/>
            <w:vAlign w:val="center"/>
          </w:tcPr>
          <w:p w:rsidR="003F5F68" w:rsidRPr="00820E00" w:rsidRDefault="003F5F68" w:rsidP="0082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1 464,6</w:t>
            </w:r>
          </w:p>
        </w:tc>
      </w:tr>
      <w:tr w:rsidR="003F5F68" w:rsidRPr="00820E00" w:rsidTr="003F5F68">
        <w:trPr>
          <w:trHeight w:val="318"/>
          <w:tblCellSpacing w:w="0" w:type="dxa"/>
          <w:jc w:val="center"/>
        </w:trPr>
        <w:tc>
          <w:tcPr>
            <w:tcW w:w="3335" w:type="pct"/>
            <w:vAlign w:val="center"/>
            <w:hideMark/>
          </w:tcPr>
          <w:p w:rsidR="003F5F68" w:rsidRPr="00820E00" w:rsidRDefault="003F5F68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результат первого года, тыс. руб. </w:t>
            </w:r>
          </w:p>
        </w:tc>
        <w:tc>
          <w:tcPr>
            <w:tcW w:w="1665" w:type="pct"/>
            <w:vAlign w:val="center"/>
            <w:hideMark/>
          </w:tcPr>
          <w:p w:rsidR="003F5F68" w:rsidRPr="00820E00" w:rsidRDefault="003F5F68" w:rsidP="0082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(22,3) </w:t>
            </w:r>
          </w:p>
        </w:tc>
      </w:tr>
    </w:tbl>
    <w:p w:rsidR="00820E00" w:rsidRDefault="00820E00"/>
    <w:p w:rsidR="00820E00" w:rsidRPr="00820E00" w:rsidRDefault="00820E00" w:rsidP="00820E0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20E00" w:rsidRPr="00820E00" w:rsidRDefault="00820E00" w:rsidP="00820E0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20E00" w:rsidRDefault="00820E00" w:rsidP="00820E0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sectPr w:rsidR="00820E00" w:rsidSect="00820E0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10"/>
        <w:tblOverlap w:val="never"/>
        <w:tblW w:w="16449" w:type="dxa"/>
        <w:tblLook w:val="04A0" w:firstRow="1" w:lastRow="0" w:firstColumn="1" w:lastColumn="0" w:noHBand="0" w:noVBand="1"/>
      </w:tblPr>
      <w:tblGrid>
        <w:gridCol w:w="2490"/>
        <w:gridCol w:w="1727"/>
        <w:gridCol w:w="2405"/>
        <w:gridCol w:w="2417"/>
        <w:gridCol w:w="2416"/>
        <w:gridCol w:w="2293"/>
        <w:gridCol w:w="2701"/>
      </w:tblGrid>
      <w:tr w:rsidR="00820E00" w:rsidRPr="006236BB" w:rsidTr="00820E00">
        <w:trPr>
          <w:trHeight w:val="315"/>
        </w:trPr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00" w:rsidRPr="007F40FE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40F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Бизнес-модель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r w:rsidRPr="007F40F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роекта</w:t>
            </w: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510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партнеры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действия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Продукты (услуги)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воздействие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 с клиентами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Сегментация клиентов (по потребностям и доходам)</w:t>
            </w:r>
          </w:p>
        </w:tc>
      </w:tr>
      <w:tr w:rsidR="00820E00" w:rsidRPr="006236BB" w:rsidTr="00820E00">
        <w:trPr>
          <w:trHeight w:val="276"/>
        </w:trPr>
        <w:tc>
          <w:tcPr>
            <w:tcW w:w="4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Руководители детских домов 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совместная деятельность по </w:t>
            </w:r>
            <w:proofErr w:type="spell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предвыпускному</w:t>
            </w:r>
            <w:proofErr w:type="spell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постинтернатному сопровождению молодых людей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и сотрудники </w:t>
            </w: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СОНКО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осуществляющие работу в смежных областях (образование, психология, профориентация)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Юридические компании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защиты жилищных и иных прав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Уполномоченный по правам ребенка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автономном округе – методическая поддержка, поддержка при взаимодействии с органами власти, местного самоуправления, другими организациями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популяризации участия физических и юридических лиц в проекте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Органы власти и местного самоуправления автономного округу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(окружные департаменты – </w:t>
            </w:r>
            <w:proofErr w:type="spell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Труда и занятости, Образования и молодежной политики, Здравоохранения органы опеки и попечительства муниципалитетов) – методическая поддержка, корректировка государственной политики в регулируемой сфере, проведение конкурсов на получение финансовой поддержки СОНКО, компенсационные выплаты при предоставлении социальных услуг выпускникам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готовые осуществлять пожертвования, </w:t>
            </w: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частные лица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филантропы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Центр инноваций </w:t>
            </w:r>
            <w:proofErr w:type="gramStart"/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социальной сферы</w:t>
            </w:r>
            <w:proofErr w:type="gramEnd"/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Югры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Гражданских и социальных инициатив Югры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поддержка в создании, продвижении и финансировании проекта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Российские организации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пилотные площадки внедрения систем наставничества в постинтернатном сопровождении выпускников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(МОО «Старшие братья старшие сестры», Фонд «Хранители детства» и другие)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 президентских грантов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(президентские </w:t>
            </w:r>
            <w:proofErr w:type="spell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гранты.рф</w:t>
            </w:r>
            <w:proofErr w:type="spell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финансовая поддержка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Религиозные организации традиционных конфессий –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программах наставничества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российский опыт наставничества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Заручиться поддержкой экспертов и руководителей органов власти автономного округа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Зарегистрировать СОНКО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в проект специалистов, обучить у экспертов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«пул» волонтеров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обучение волонтеров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(изучить, перенять) методики работы, утвердить регламент работы, тематику занятий, примерный перечень совместных дел наставнических </w:t>
            </w:r>
            <w:proofErr w:type="gram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пар,   </w:t>
            </w:r>
            <w:proofErr w:type="gram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получения обратной связи от участников проекта, разработать формы договоров, заключаемых с участниками проекта, перечень предоставляемых ими документов для участия в проекте.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«пул» воспитанников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тестирование, создать пары наставник - воспитанник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проект общественности и органам власти и местного самоуправления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(«подключиться») источники финансирования проекта: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гранты органов власти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компенсационные выплаты из бюджета за оказанные услуги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пожертвования юридических лиц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пожертвования физических лиц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сопровождение пар «наставник-воспитанник», обеспечивающих оказание социальных услуг благополучателю, реализацию потребностей выпускников.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клиентов - воспитанников, выпускников и молодежи</w:t>
            </w: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сложной жизненной ситуации услуга решает проблему выживания в плохом социальном окружении,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позитивного развития личности и успешного жизнеустройства. При этом мы понимаем, что значительная часть данных клиентов не мотивированы для получения данной услуги, не осознают данной потребности.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проекта для данной категории – найти стимулы для молодежи, заинтересовать интересным сотрудничеством и </w:t>
            </w:r>
            <w:proofErr w:type="gramStart"/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 доверительные</w:t>
            </w:r>
            <w:proofErr w:type="gramEnd"/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дружеские отношения с наставником.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Волонтеры –наставники </w:t>
            </w: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процессе услуги удовлетворяет свою потребность востребованности обществом, потребности демонстрировать свои лучшие качества, передавать свои знания и опыт подрастающему поколению, получить дополнительный социальный статус наставника.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Услуги - </w:t>
            </w:r>
            <w:r w:rsidRPr="00F01225">
              <w:rPr>
                <w:rFonts w:ascii="Times New Roman" w:hAnsi="Times New Roman"/>
                <w:sz w:val="24"/>
                <w:szCs w:val="24"/>
              </w:rPr>
              <w:t>Программы личностного роста (в том числе для волонтеров</w:t>
            </w:r>
            <w:proofErr w:type="gramStart"/>
            <w:r w:rsidRPr="00F01225">
              <w:rPr>
                <w:rFonts w:ascii="Times New Roman" w:hAnsi="Times New Roman"/>
                <w:sz w:val="24"/>
                <w:szCs w:val="24"/>
              </w:rPr>
              <w:t xml:space="preserve">),   </w:t>
            </w:r>
            <w:proofErr w:type="gramEnd"/>
            <w:r w:rsidRPr="00F01225">
              <w:rPr>
                <w:rFonts w:ascii="Times New Roman" w:hAnsi="Times New Roman"/>
                <w:sz w:val="24"/>
                <w:szCs w:val="24"/>
              </w:rPr>
              <w:t xml:space="preserve">                 методики диагностики, карты интересов             </w:t>
            </w:r>
            <w:hyperlink w:history="1">
              <w:r w:rsidRPr="00F01225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Компьютерные технологии </w:t>
              </w:r>
            </w:hyperlink>
            <w:r w:rsidRPr="00F01225">
              <w:rPr>
                <w:rFonts w:ascii="Times New Roman" w:hAnsi="Times New Roman"/>
                <w:sz w:val="24"/>
                <w:szCs w:val="24"/>
              </w:rPr>
              <w:t xml:space="preserve"> профессиональных интересов и склонностей. 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консультации в плане гармонизации семейных отношений, взаимоотношений с детьми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воздействия будет осуществляться через совместную деятельность (культурную, трудовую, развлекательную, воспитательную) с положительным взрослым.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воспитанника появятся навыки самостоятельной жизни, понимание важности обязательств и обязанностей, умение обращаться с деньгами, мотивация к образованию и трудоустройству, уверенность в собственных силах и своем позитивном будущем.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проблемы будет выражаться в увеличении доли молодых людей, ассимилировавшихся в современное российское общество, ставших полезными членами общества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 xml:space="preserve">Успешная социализация и эффективная самореализация молодежи  </w:t>
            </w:r>
            <w:r w:rsidRPr="00F01225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proofErr w:type="gramStart"/>
            <w:r w:rsidRPr="00F01225">
              <w:rPr>
                <w:rFonts w:ascii="Times New Roman" w:hAnsi="Times New Roman"/>
                <w:sz w:val="24"/>
                <w:szCs w:val="24"/>
              </w:rPr>
              <w:t>профориентации  и</w:t>
            </w:r>
            <w:proofErr w:type="gramEnd"/>
            <w:r w:rsidRPr="00F01225">
              <w:rPr>
                <w:rFonts w:ascii="Times New Roman" w:hAnsi="Times New Roman"/>
                <w:sz w:val="24"/>
                <w:szCs w:val="24"/>
              </w:rPr>
              <w:t xml:space="preserve"> жизнеустройства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Возможность осознать свои способности, профессиональные интересы и сделать правильный выбор сферы деятельности и профессии.</w:t>
            </w:r>
          </w:p>
          <w:p w:rsidR="00820E00" w:rsidRPr="00F01225" w:rsidRDefault="00820E00" w:rsidP="00820E00">
            <w:pPr>
              <w:rPr>
                <w:rFonts w:ascii="Times New Roman" w:hAnsi="Times New Roman"/>
                <w:sz w:val="24"/>
                <w:szCs w:val="24"/>
              </w:rPr>
            </w:pPr>
            <w:r w:rsidRPr="00F0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E00" w:rsidRPr="00F01225" w:rsidRDefault="00820E00" w:rsidP="00820E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Долгосрочные программы работы в парах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 подход к клиентам в разработке рекомендаций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 xml:space="preserve">  конкурсах </w:t>
            </w:r>
            <w:proofErr w:type="gramStart"/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и  проектах</w:t>
            </w:r>
            <w:proofErr w:type="gramEnd"/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, содействующих профессиональному самоопределению молодежи. Организация и содействие в проведении мероприятий в рамках направления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классы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Воспитанники детских домов и замещающих семей в возрасте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 лет</w:t>
            </w: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Выпускники детских домов и замещающих семей в возрасте 18-23 лет</w:t>
            </w: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 и молодые люди в возрасте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лет, находящиеся в сложной жизненной ситуации</w:t>
            </w: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Волонтеры – лица, преимущественно </w:t>
            </w: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236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лет, готовые принять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олгосрочное участие в программе, обладающие необходимыми качествами </w:t>
            </w: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114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1639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450"/>
        </w:trPr>
        <w:tc>
          <w:tcPr>
            <w:tcW w:w="4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6236BB" w:rsidTr="00820E00">
        <w:trPr>
          <w:trHeight w:val="255"/>
        </w:trPr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ресурсы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Создаваемая стоимость для клиентов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:rsidR="00820E00" w:rsidRPr="006236BB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6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Каналы </w:t>
            </w:r>
          </w:p>
        </w:tc>
      </w:tr>
      <w:tr w:rsidR="00820E00" w:rsidRPr="00F01225" w:rsidTr="00820E00">
        <w:trPr>
          <w:trHeight w:val="517"/>
        </w:trPr>
        <w:tc>
          <w:tcPr>
            <w:tcW w:w="6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Категории важных активов:</w:t>
            </w:r>
          </w:p>
          <w:p w:rsidR="00820E00" w:rsidRPr="00F01225" w:rsidRDefault="00820E00" w:rsidP="00820E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Материальные</w:t>
            </w:r>
          </w:p>
          <w:p w:rsidR="00820E00" w:rsidRPr="00F01225" w:rsidRDefault="00820E00" w:rsidP="00820E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А. Денежные средства - на первоначальном этапе собственные средства, далее – вышеуказанные источники</w:t>
            </w:r>
          </w:p>
          <w:p w:rsidR="00820E00" w:rsidRPr="00F01225" w:rsidRDefault="00820E00" w:rsidP="00820E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Б. Безвозмездная либо льготная аренда муниципальных помещений</w:t>
            </w:r>
          </w:p>
          <w:p w:rsidR="00820E00" w:rsidRPr="00F01225" w:rsidRDefault="00820E00" w:rsidP="00820E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В. Мебель, оргтехника – приобретение с последующей компенсацией </w:t>
            </w:r>
            <w:proofErr w:type="gramStart"/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муниципалитете</w:t>
            </w:r>
            <w:proofErr w:type="gramEnd"/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либо безвозмездное получение от организаций в качестве поддержки</w:t>
            </w:r>
          </w:p>
          <w:p w:rsidR="00820E00" w:rsidRPr="00F01225" w:rsidRDefault="00820E00" w:rsidP="00820E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Нематериальные (бренды, патенты, автор права, базы Кл, ИТ, технологии)</w:t>
            </w:r>
          </w:p>
          <w:p w:rsidR="00820E00" w:rsidRPr="00F01225" w:rsidRDefault="00820E00" w:rsidP="00820E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Необходимо перенять технологию экспертов в данном вопросе (провести обучение для команды проекта), либо приобрести франшизу, либо стать представительством экспертной организации на территории Югры</w:t>
            </w:r>
          </w:p>
          <w:p w:rsidR="00820E00" w:rsidRPr="00F01225" w:rsidRDefault="00820E00" w:rsidP="00820E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Кадры</w:t>
            </w:r>
          </w:p>
          <w:p w:rsidR="00820E00" w:rsidRPr="00F01225" w:rsidRDefault="00820E00" w:rsidP="00820E0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Привлечение специалистов (психологи, педагоги, специалист по продвижению, юрист, бухгалтер) путем заключения договоров ГПХ и оплата на рыночных условиях.</w:t>
            </w:r>
          </w:p>
          <w:p w:rsidR="00820E00" w:rsidRPr="00F01225" w:rsidRDefault="00820E00" w:rsidP="00820E00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Привлечение волонтеров через каналы сбыта</w:t>
            </w:r>
          </w:p>
          <w:p w:rsidR="00820E00" w:rsidRPr="00F01225" w:rsidRDefault="00820E00" w:rsidP="00820E0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Финансы (собственные, заемные)</w:t>
            </w:r>
          </w:p>
          <w:p w:rsidR="00820E00" w:rsidRPr="00F01225" w:rsidRDefault="00820E00" w:rsidP="00820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Собственные средства на первоначальном этапе становления. Далее – нижеуказанные источники. Заемные средства не привлекаются.</w:t>
            </w:r>
          </w:p>
        </w:tc>
        <w:tc>
          <w:tcPr>
            <w:tcW w:w="4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Новое качество жизни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Информационные статьи в СМИ</w:t>
            </w:r>
          </w:p>
          <w:p w:rsidR="00820E00" w:rsidRPr="00F01225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Личные продажи персонала</w:t>
            </w:r>
          </w:p>
          <w:p w:rsidR="00820E00" w:rsidRPr="00F01225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мероприятий- презентаций по профориентации </w:t>
            </w:r>
            <w:proofErr w:type="gramStart"/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молодёжи,  тренинги</w:t>
            </w:r>
            <w:proofErr w:type="gramEnd"/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20E00" w:rsidRPr="00F01225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мастер-классы с участием образовательных учреждений.</w:t>
            </w:r>
          </w:p>
          <w:p w:rsidR="00820E00" w:rsidRPr="00F01225" w:rsidRDefault="00820E00" w:rsidP="00820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профориентации молодёжи совместно с «</w:t>
            </w:r>
            <w:r w:rsidRPr="00F0122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Федеральным агентством по делам молодежи» и </w:t>
            </w:r>
            <w:r w:rsidRPr="00F01225">
              <w:rPr>
                <w:rFonts w:ascii="Times New Roman" w:hAnsi="Times New Roman"/>
                <w:bCs/>
                <w:sz w:val="24"/>
                <w:szCs w:val="24"/>
              </w:rPr>
              <w:t>Департаментом</w:t>
            </w:r>
            <w:r w:rsidRPr="00F01225">
              <w:rPr>
                <w:rFonts w:ascii="Times New Roman" w:hAnsi="Times New Roman"/>
                <w:sz w:val="24"/>
                <w:szCs w:val="24"/>
              </w:rPr>
              <w:t xml:space="preserve"> образования и молодежной политики</w:t>
            </w: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1200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6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255"/>
        </w:trPr>
        <w:tc>
          <w:tcPr>
            <w:tcW w:w="66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расходов</w:t>
            </w:r>
          </w:p>
        </w:tc>
        <w:tc>
          <w:tcPr>
            <w:tcW w:w="9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доходов</w:t>
            </w:r>
          </w:p>
        </w:tc>
      </w:tr>
      <w:tr w:rsidR="00820E00" w:rsidRPr="00F01225" w:rsidTr="00820E00">
        <w:trPr>
          <w:trHeight w:val="51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перемен. расходы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9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0E00" w:rsidRPr="00F01225" w:rsidRDefault="00820E00" w:rsidP="00820E00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01225">
              <w:rPr>
                <w:rFonts w:ascii="Times New Roman" w:hAnsi="Times New Roman"/>
              </w:rPr>
              <w:t xml:space="preserve">Компенсационные выплаты из бюджета автономного округа за оказание услуг выпускникам учреждений и замещающих семей в соответствии со Стандартом </w:t>
            </w:r>
            <w:proofErr w:type="spellStart"/>
            <w:r w:rsidRPr="00F01225">
              <w:rPr>
                <w:rFonts w:ascii="Times New Roman" w:hAnsi="Times New Roman"/>
              </w:rPr>
              <w:t>Депсоцразвития</w:t>
            </w:r>
            <w:proofErr w:type="spellEnd"/>
            <w:r w:rsidRPr="00F01225">
              <w:rPr>
                <w:rFonts w:ascii="Times New Roman" w:hAnsi="Times New Roman"/>
              </w:rPr>
              <w:t xml:space="preserve"> (необходимо разработать и внедрить данный стандарт) по тарифам, утвержденным РСТ Югры.</w:t>
            </w:r>
          </w:p>
          <w:p w:rsidR="00820E00" w:rsidRPr="00F01225" w:rsidRDefault="00820E00" w:rsidP="00820E00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01225">
              <w:rPr>
                <w:rFonts w:ascii="Times New Roman" w:hAnsi="Times New Roman"/>
              </w:rPr>
              <w:t xml:space="preserve">Сертификаты, предоставляемые </w:t>
            </w:r>
            <w:proofErr w:type="spellStart"/>
            <w:r w:rsidRPr="00F01225">
              <w:rPr>
                <w:rFonts w:ascii="Times New Roman" w:hAnsi="Times New Roman"/>
              </w:rPr>
              <w:t>Депсоцразвития</w:t>
            </w:r>
            <w:proofErr w:type="spellEnd"/>
            <w:r w:rsidRPr="00F01225">
              <w:rPr>
                <w:rFonts w:ascii="Times New Roman" w:hAnsi="Times New Roman"/>
              </w:rPr>
              <w:t xml:space="preserve"> на предоставление бесплатных социальных услуг</w:t>
            </w:r>
          </w:p>
          <w:p w:rsidR="00820E00" w:rsidRPr="00F01225" w:rsidRDefault="00820E00" w:rsidP="00820E00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01225">
              <w:rPr>
                <w:rFonts w:ascii="Times New Roman" w:hAnsi="Times New Roman"/>
              </w:rPr>
              <w:t xml:space="preserve">Компенсационные выплаты для НКО и/или субъектов МСП из средств </w:t>
            </w:r>
            <w:proofErr w:type="spellStart"/>
            <w:r w:rsidRPr="00F01225">
              <w:rPr>
                <w:rFonts w:ascii="Times New Roman" w:hAnsi="Times New Roman"/>
              </w:rPr>
              <w:t>г.Ханты-Мансийска</w:t>
            </w:r>
            <w:proofErr w:type="spellEnd"/>
            <w:r w:rsidRPr="00F01225">
              <w:rPr>
                <w:rFonts w:ascii="Times New Roman" w:hAnsi="Times New Roman"/>
              </w:rPr>
              <w:t xml:space="preserve"> (аренда, мебель и оборудование, консультационные услуги).</w:t>
            </w:r>
          </w:p>
          <w:p w:rsidR="00820E00" w:rsidRPr="00F01225" w:rsidRDefault="00820E00" w:rsidP="00820E00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01225">
              <w:rPr>
                <w:rFonts w:ascii="Times New Roman" w:hAnsi="Times New Roman"/>
              </w:rPr>
              <w:t>Гранты – источники любого бюджетного уровня и от организаций</w:t>
            </w:r>
          </w:p>
          <w:p w:rsidR="00820E00" w:rsidRPr="00F01225" w:rsidRDefault="00820E00" w:rsidP="00820E00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F01225">
              <w:rPr>
                <w:rFonts w:ascii="Times New Roman" w:hAnsi="Times New Roman"/>
              </w:rPr>
              <w:t>Пожертвования – от юридических и физических лиц (российских)</w:t>
            </w:r>
          </w:p>
          <w:p w:rsidR="00820E00" w:rsidRPr="00F01225" w:rsidRDefault="00820E00" w:rsidP="00820E00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01225">
              <w:rPr>
                <w:rFonts w:ascii="Times New Roman" w:hAnsi="Times New Roman"/>
              </w:rPr>
              <w:t>Предпринимательская деятельность – открытие дополнительных направлений деятельности дополнительного образования и профориентации (создание гибридной модели)</w:t>
            </w:r>
            <w:r w:rsidRPr="00F01225">
              <w:rPr>
                <w:rFonts w:ascii="Times New Roman" w:hAnsi="Times New Roman"/>
                <w:color w:val="000000"/>
              </w:rPr>
              <w:t xml:space="preserve"> </w:t>
            </w:r>
            <w:r w:rsidRPr="00F01225">
              <w:rPr>
                <w:rFonts w:ascii="Times New Roman" w:hAnsi="Times New Roman"/>
              </w:rPr>
              <w:t>Оплата консультаций, групповых программ, психологических диагностик, тренингов</w:t>
            </w:r>
          </w:p>
        </w:tc>
      </w:tr>
      <w:tr w:rsidR="00820E00" w:rsidRPr="00F01225" w:rsidTr="00820E00">
        <w:trPr>
          <w:trHeight w:val="276"/>
        </w:trPr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оплату труда привлекаемых специалистов – психологов, педагогов (сдельная форма оплаты труда), данные затраты будут переменными до тек пор пока объем сопровождаемых клиентов на вырастет до уровня, обеспечивающего полный рабочий день специалистов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Постоянные затраты: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оплату труда постоянных специалистов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административные расходы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 продвижение проекта 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оплату труда консультационного сопровождения (специалист по продвижению, бухгалтерское, налоговое и юридическое сопровождение)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аренду помещения и коммунальные расходы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проведение мотивационных мероприятий с волонтерами, общих мероприятий проекта</w:t>
            </w:r>
          </w:p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458"/>
        </w:trPr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00" w:rsidRPr="00F01225" w:rsidTr="00820E00">
        <w:trPr>
          <w:trHeight w:val="255"/>
        </w:trPr>
        <w:tc>
          <w:tcPr>
            <w:tcW w:w="16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устойчивость (рентабельность)</w:t>
            </w:r>
          </w:p>
        </w:tc>
      </w:tr>
      <w:tr w:rsidR="00820E00" w:rsidRPr="00F01225" w:rsidTr="00820E00">
        <w:trPr>
          <w:trHeight w:val="276"/>
        </w:trPr>
        <w:tc>
          <w:tcPr>
            <w:tcW w:w="164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бизнес-проекта составляет 15 месяцев (при запланированном количестве создаваемых пар и достигнутых показателях по привлечению финансирования в проект). </w:t>
            </w:r>
          </w:p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основных источника поступления денежных средств:</w:t>
            </w:r>
          </w:p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бюджет автономного округа – компенсационные выплаты за оказанные социальные услуги, </w:t>
            </w:r>
            <w:proofErr w:type="spell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</w:t>
            </w:r>
          </w:p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юридические и физические лица – гранты и пожертвования</w:t>
            </w:r>
          </w:p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F01225" w:rsidRDefault="00820E00" w:rsidP="00820E00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источники – не гарантированные, </w:t>
            </w:r>
            <w:proofErr w:type="gram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поэтому  количество</w:t>
            </w:r>
            <w:proofErr w:type="gram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создаваемых наставнических пар и объем предоставляемых </w:t>
            </w:r>
            <w:proofErr w:type="spellStart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благополучателям</w:t>
            </w:r>
            <w:proofErr w:type="spellEnd"/>
            <w:r w:rsidRPr="00F01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будут корректироваться в зависимости от достигнутого уровня финансирования проекта на текущий период. </w:t>
            </w:r>
          </w:p>
        </w:tc>
      </w:tr>
      <w:tr w:rsidR="00820E00" w:rsidRPr="00F01225" w:rsidTr="00820E00">
        <w:trPr>
          <w:trHeight w:val="458"/>
        </w:trPr>
        <w:tc>
          <w:tcPr>
            <w:tcW w:w="16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E00" w:rsidRPr="00F01225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E00" w:rsidRPr="00F01225" w:rsidRDefault="00820E00" w:rsidP="00820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0E00" w:rsidRDefault="00820E00" w:rsidP="00820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tbl>
      <w:tblPr>
        <w:tblW w:w="499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7"/>
      </w:tblGrid>
      <w:tr w:rsidR="00820E00" w:rsidRPr="00820E00" w:rsidTr="00820E00">
        <w:trPr>
          <w:tblCellSpacing w:w="15" w:type="dxa"/>
        </w:trPr>
        <w:tc>
          <w:tcPr>
            <w:tcW w:w="4980" w:type="pct"/>
            <w:vAlign w:val="center"/>
            <w:hideMark/>
          </w:tcPr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20E0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Прогноз движения денежных средств, тыс. руб.</w:t>
            </w:r>
            <w:r w:rsidRPr="00820E0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6"/>
              <w:gridCol w:w="2120"/>
              <w:gridCol w:w="1406"/>
              <w:gridCol w:w="710"/>
              <w:gridCol w:w="710"/>
              <w:gridCol w:w="710"/>
              <w:gridCol w:w="710"/>
              <w:gridCol w:w="790"/>
              <w:gridCol w:w="790"/>
              <w:gridCol w:w="790"/>
              <w:gridCol w:w="790"/>
              <w:gridCol w:w="790"/>
              <w:gridCol w:w="790"/>
              <w:gridCol w:w="790"/>
              <w:gridCol w:w="790"/>
              <w:gridCol w:w="1230"/>
            </w:tblGrid>
            <w:tr w:rsidR="00820E00" w:rsidRPr="00820E00" w:rsidTr="00820E00">
              <w:trPr>
                <w:trHeight w:val="255"/>
              </w:trPr>
              <w:tc>
                <w:tcPr>
                  <w:tcW w:w="17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00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39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Инвестиционный месяц</w:t>
                  </w:r>
                </w:p>
              </w:tc>
              <w:tc>
                <w:tcPr>
                  <w:tcW w:w="31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4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за 1 год</w:t>
                  </w:r>
                </w:p>
              </w:tc>
            </w:tr>
            <w:tr w:rsidR="00820E00" w:rsidRPr="00820E00" w:rsidTr="00820E00">
              <w:trPr>
                <w:trHeight w:val="285"/>
              </w:trPr>
              <w:tc>
                <w:tcPr>
                  <w:tcW w:w="17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04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Доходы (компенсации за оказанные услуги)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4 800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4 800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4 800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9 600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14 400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19 200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28 800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33 600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40 800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55 200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288 000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Фонд оплаты труда (трудовые договора)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560 000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НДФЛ (ФОТ 13%)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2 600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2 600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2 600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2 600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72 800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Взносы (ФОТ)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6 040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6 040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6 040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18 120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169 120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Пенсионный фонд (ФОТ 22%)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4 400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4 400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4 400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13 200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123 200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ФФОМС, ТФОМС (ФОТ 5,1%)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1 020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1 020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3 060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28 560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ФСС (ФОТ 0,2%+2,9%)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1 860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17 360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Сдельная оплата труда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7 200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7 200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9 600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14 400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19 200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28 800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33 600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38 400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55 200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62 400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348 000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НДФЛ (Сдельная оплата труда 13%)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936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936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1 248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1 872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2 496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3 120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3 744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4 368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4 992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6 240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7 176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8 112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45 240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Взносы (сдельная оплата труда)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2 174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2 174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2 899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4 349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5 798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7 248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8 698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10 147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11 597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14 496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16 670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18 845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105 096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Пенсионный фонд (22%)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1 584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1 584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2 112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3 168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4 224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5 280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6 336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7 392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8 448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10 560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12 144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13 728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76 560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5.2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ФФОМС, ТФОМС (5,1%)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367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734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979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1 224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1 469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1 714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1 958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2 448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2 815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3 182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17 748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ФСС (0,2%+2,9%)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595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744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893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1 042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1 190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1 488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1 711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1 934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10 788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Налог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288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576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864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1 152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1 440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1 728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2 016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2 448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2 880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3 312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17 280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УСН 6% (например)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288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288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576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1 152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1 440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1 728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2 016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2 448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2 880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3 312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17 280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6.2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5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Маркетинговые расходы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201 000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Административно-хозяйственные и производственные расходы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29 000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29 000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22 300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22 300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22 300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24 300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295 000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Производственные расходы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5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Аренда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Вывоз ТБО/</w:t>
                  </w:r>
                  <w:proofErr w:type="spellStart"/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жкх</w:t>
                  </w:r>
                  <w:proofErr w:type="spellEnd"/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8.4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CRM-система и IP-телефония, конфигурирование и абонентская плата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52 000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Транспортные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8.6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Услуги связи интернет, хостинг сайта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8.7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ТО оргтехники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8.8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Канцелярия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8.9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Хозяйственные расходы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8.10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Бухгалтерские услуги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72 000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8.11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Юридические </w:t>
                  </w:r>
                  <w:proofErr w:type="spellStart"/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усуги</w:t>
                  </w:r>
                  <w:proofErr w:type="spellEnd"/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5 000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8.17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Непредвиденные расходы (5%)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960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1 200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1 440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1 680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2 040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2 400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2 760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14 400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Себестоимость без учета налога на прибыль: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86 654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86 654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85 079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82 569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141 138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147 628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156 118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162 607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169 097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181 956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191 690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201 425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1 692 616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себестоимость: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86 942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86 942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85 367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83 145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142 002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148 780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157 558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164 335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171 113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184 404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194 570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204 737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1 709 896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Рентабельность продаж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51,3%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51,3%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50,4%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23,0%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26,6%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20,2%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16,7%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14,1%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12,3%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10,6%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9,2%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8,1%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14,8%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Денежный поток от операционной деятельности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-82 142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-82 142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-80 567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-73 545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-127 602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-129 580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-133 558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-135 535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-137 513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-143 604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-146 570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-149 537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-1 421 896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Инвестиционные расходы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65 000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13.1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Расходы на подготовку проекта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65 000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Денежный поток от финансовой деятельности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84 607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84 607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82 984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75 751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131 430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133 467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137 564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139 601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141 638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147 912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150 968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154 023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1 464 553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14.1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Собственный капитал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14.2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Заемный капитал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14.3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Невозвратное финансирование (гранты, пожертвование)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84 607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84 607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82 984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75 751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131 430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133 467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137 564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139 601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141 638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147 912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150 968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154 023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1 464 553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14.4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E6B8B7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Погашение основного долга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14.5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E6B8B7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Погашение процентов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14.6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E6B8B7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Выплаты дивидендов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Нераспределенная прибыль (</w:t>
                  </w:r>
                  <w:proofErr w:type="spellStart"/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CashFlow</w:t>
                  </w:r>
                  <w:proofErr w:type="spellEnd"/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-65 000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2 464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2 464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2 417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2 206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3 828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3 887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4 007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4 066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4 125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4 308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4 397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4 486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42 657</w:t>
                  </w:r>
                </w:p>
              </w:tc>
            </w:tr>
            <w:tr w:rsidR="00820E00" w:rsidRPr="00820E00" w:rsidTr="00820E00">
              <w:trPr>
                <w:trHeight w:val="216"/>
              </w:trPr>
              <w:tc>
                <w:tcPr>
                  <w:tcW w:w="1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Прибыль нарастающим итогом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-65 000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-62 536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-60 071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-57 654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-55 448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-51 620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-47 733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-43 726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-39 660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-35 534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-31 226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-26 829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-22 343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-22 343</w:t>
                  </w:r>
                </w:p>
              </w:tc>
            </w:tr>
          </w:tbl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E6" w:rsidRDefault="001777E6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E6" w:rsidRDefault="001777E6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E6" w:rsidRDefault="001777E6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E6" w:rsidRDefault="001777E6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E6" w:rsidRPr="00820E00" w:rsidRDefault="001777E6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97"/>
              <w:gridCol w:w="3599"/>
              <w:gridCol w:w="932"/>
              <w:gridCol w:w="932"/>
              <w:gridCol w:w="932"/>
              <w:gridCol w:w="932"/>
              <w:gridCol w:w="921"/>
              <w:gridCol w:w="932"/>
              <w:gridCol w:w="932"/>
              <w:gridCol w:w="932"/>
              <w:gridCol w:w="932"/>
              <w:gridCol w:w="913"/>
              <w:gridCol w:w="921"/>
            </w:tblGrid>
            <w:tr w:rsidR="00820E00" w:rsidRPr="00820E00" w:rsidTr="00820E00">
              <w:trPr>
                <w:trHeight w:val="255"/>
              </w:trPr>
              <w:tc>
                <w:tcPr>
                  <w:tcW w:w="21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25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273" w:type="pct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год (квартальная разбивка)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за год</w:t>
                  </w:r>
                </w:p>
              </w:tc>
              <w:tc>
                <w:tcPr>
                  <w:tcW w:w="1293" w:type="pct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 год (квартальная разбивка)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за год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по проекту</w:t>
                  </w:r>
                </w:p>
              </w:tc>
            </w:tr>
            <w:tr w:rsidR="00820E00" w:rsidRPr="00820E00" w:rsidTr="00820E00">
              <w:trPr>
                <w:trHeight w:val="285"/>
              </w:trPr>
              <w:tc>
                <w:tcPr>
                  <w:tcW w:w="21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квартал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квартал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 квартал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квартал</w:t>
                  </w:r>
                </w:p>
              </w:tc>
              <w:tc>
                <w:tcPr>
                  <w:tcW w:w="32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квартал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квартал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 квартал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квартал</w:t>
                  </w:r>
                </w:p>
              </w:tc>
              <w:tc>
                <w:tcPr>
                  <w:tcW w:w="32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Доходы (компенсации за оказанные услуги)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98 400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108 000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117 600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408 000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132 000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168 000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1 296 000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Фонд оплаты труда (трудовые договора)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720 000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720 000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2 000 000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НДФЛ (ФОТ 13%)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93 600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93 600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260 000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Взносы (ФОТ)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217 440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217 440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604 000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Пенсионный фонд (ФОТ 22%)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158 400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158 400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440 000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ФФОМС, ТФОМС (ФОТ 5,1%)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36 720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36 720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102 000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ФСС (ФОТ 0,2%+2,9%)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22 320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22 320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Cдельная</w:t>
                  </w:r>
                  <w:proofErr w:type="spellEnd"/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оплата труда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108 000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122 400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132 000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141 600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168 000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192 000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744 000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1 596 000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НДФЛ (Сдельная оплата труда 13%)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14 040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15 912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17 160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18 408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65 520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21 840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24 960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26 520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96 720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207 480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Взносы (сдельная оплата труда)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32 616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36 965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39 864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42 763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152 208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50 736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57 984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61 608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224 688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481 992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Пенсионный фонд (22%)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23 760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26 928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29 040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31 152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110 880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36 960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39 600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42 240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44 880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163 680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351 120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5.2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ФФОМС, ТФОМС (5,1%)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5 508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6 242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6 732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7 222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25 704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8 568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9 180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9 792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10 404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37 944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81 396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5.3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ФСС (0,2%+2,9%)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3 348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3 794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4 092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4 390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15 624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5 208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5 580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5 952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6 324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23 064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49 476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Налог 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5 040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5 904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6 480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7 056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24 480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7 920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8 640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10 080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77 760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УСН 6% (например)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5 040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5 904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6 480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7 056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24 480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7 920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8 640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9 360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77 760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6.2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5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Маркетинговые расходы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561 000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Административно-хозяйственные и производственные расходы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292 000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73 000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292 000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879 000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Производственные расходы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5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Аренда 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Вывоз ТБО/</w:t>
                  </w:r>
                  <w:proofErr w:type="spellStart"/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жкх</w:t>
                  </w:r>
                  <w:proofErr w:type="spellEnd"/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8.4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CRM-система и IP-телефония, конфигурирование и абонентская плата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124 000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8.5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Транспортные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8.6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Услуги связи интернет, хостинг сайта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108 000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8.7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ТО оргтехники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8.8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Канцелярия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8.9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Хозяйственные расходы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8.10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Бухгалтерские услуги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240 000</w:t>
                  </w:r>
                </w:p>
              </w:tc>
            </w:tr>
            <w:tr w:rsidR="00820E00" w:rsidRPr="00820E00" w:rsidTr="00820E00">
              <w:trPr>
                <w:trHeight w:val="225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8.11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Юридические услуги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8.17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Непредвиденные расходы (5%)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4 200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4 920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5 400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5 880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6 600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7 200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7 800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8 400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30 000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64 800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Себестоимость без учета налога на прибыль: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497 176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516 645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529 624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542 603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2 086 048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577 696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593 920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610 144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626 368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2 408 128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6 186 792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себестоимость: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502 216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522 549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536 104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549 659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2 110 528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585 616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602 560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619 504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636 448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4DFEC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2 444 128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6 264 552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Рентабельность продаж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14,9%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12,9%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11,9%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11,0%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12,5%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10,3%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9,6%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8,9%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8,4%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9,2%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AEEF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11,5%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Денежный поток от операционной деятельности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-418 216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-424 149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-428 104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-432 059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-1 702 528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-453 616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-458 560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-463 504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-468 448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3FFB3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-1 844 128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-4 968 552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Инвестиционные расходы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13.1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Расходы на подготовку проекта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Денежный поток от финансовой деятельности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430 762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436 873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440 947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445 021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1 753 604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467 224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472 317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477 409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482 501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1 899 452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5 117 609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14.1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Собственный капитал 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14.2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Заемный капитал 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408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14.3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FFFFFF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Невозвратное финансирование (гранты, пожертвование) 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430 762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436 873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440 947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445 021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1 753 604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467 224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472 317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477 409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482 501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1 899 452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5 117 609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14.4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E6B8B7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Погашение основного долга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14.5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E6B8B7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Погашение процентов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14.6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CC99" w:fill="E6B8B7"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Выплаты дивидендов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820E00" w:rsidRPr="00820E00" w:rsidTr="00820E00">
              <w:trPr>
                <w:trHeight w:val="204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Нераспределенная прибыль (</w:t>
                  </w:r>
                  <w:proofErr w:type="spellStart"/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CashFlow</w:t>
                  </w:r>
                  <w:proofErr w:type="spellEnd"/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12 546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12 724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12 843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12 962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51 076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13 608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13 757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13 905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14 053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399FF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  <w:lang w:eastAsia="ru-RU"/>
                    </w:rPr>
                    <w:t>55 324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149 057</w:t>
                  </w:r>
                </w:p>
              </w:tc>
            </w:tr>
            <w:tr w:rsidR="00820E00" w:rsidRPr="00820E00" w:rsidTr="00820E00">
              <w:trPr>
                <w:trHeight w:val="216"/>
              </w:trPr>
              <w:tc>
                <w:tcPr>
                  <w:tcW w:w="2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Прибыль нарастающим итогом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-9 797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2 928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15 771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28 733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28 733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42 341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56 098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70 003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84 057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DE9D9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84 057</w:t>
                  </w:r>
                </w:p>
              </w:tc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:rsidR="00820E00" w:rsidRPr="00820E00" w:rsidRDefault="00820E00" w:rsidP="00820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20E00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84 057</w:t>
                  </w:r>
                </w:p>
              </w:tc>
            </w:tr>
          </w:tbl>
          <w:p w:rsidR="00820E00" w:rsidRPr="00820E00" w:rsidRDefault="00820E00" w:rsidP="0082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0E00" w:rsidRDefault="00820E00" w:rsidP="00820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sectPr w:rsidR="00820E00" w:rsidSect="00820E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0E00" w:rsidRDefault="00820E00"/>
    <w:sectPr w:rsidR="0082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059"/>
    <w:multiLevelType w:val="hybridMultilevel"/>
    <w:tmpl w:val="5D9A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981"/>
    <w:multiLevelType w:val="hybridMultilevel"/>
    <w:tmpl w:val="5ACE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6F2"/>
    <w:multiLevelType w:val="multilevel"/>
    <w:tmpl w:val="C970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F129F"/>
    <w:multiLevelType w:val="hybridMultilevel"/>
    <w:tmpl w:val="0A6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5757"/>
    <w:multiLevelType w:val="hybridMultilevel"/>
    <w:tmpl w:val="E3109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C5C87"/>
    <w:multiLevelType w:val="hybridMultilevel"/>
    <w:tmpl w:val="62EC6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A5AB9"/>
    <w:multiLevelType w:val="hybridMultilevel"/>
    <w:tmpl w:val="5B86A6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67848"/>
    <w:multiLevelType w:val="hybridMultilevel"/>
    <w:tmpl w:val="6002C98E"/>
    <w:lvl w:ilvl="0" w:tplc="0ED8ED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4685"/>
    <w:multiLevelType w:val="hybridMultilevel"/>
    <w:tmpl w:val="56F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F0B"/>
    <w:multiLevelType w:val="hybridMultilevel"/>
    <w:tmpl w:val="6D90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D1034"/>
    <w:multiLevelType w:val="hybridMultilevel"/>
    <w:tmpl w:val="D14AA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B2640"/>
    <w:multiLevelType w:val="hybridMultilevel"/>
    <w:tmpl w:val="142E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77F75"/>
    <w:multiLevelType w:val="hybridMultilevel"/>
    <w:tmpl w:val="E9E23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75217"/>
    <w:multiLevelType w:val="hybridMultilevel"/>
    <w:tmpl w:val="E5B050F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5864483E"/>
    <w:multiLevelType w:val="hybridMultilevel"/>
    <w:tmpl w:val="4DDC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21DA"/>
    <w:multiLevelType w:val="hybridMultilevel"/>
    <w:tmpl w:val="EBDCF624"/>
    <w:lvl w:ilvl="0" w:tplc="0ED8ED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37A4"/>
    <w:multiLevelType w:val="hybridMultilevel"/>
    <w:tmpl w:val="863AD934"/>
    <w:lvl w:ilvl="0" w:tplc="5790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E58C">
      <w:start w:val="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6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C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8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D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6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0"/>
    <w:rsid w:val="001777E6"/>
    <w:rsid w:val="003A3E15"/>
    <w:rsid w:val="003D2D5F"/>
    <w:rsid w:val="003F5F68"/>
    <w:rsid w:val="0052613C"/>
    <w:rsid w:val="006148BD"/>
    <w:rsid w:val="006A597F"/>
    <w:rsid w:val="007C1EEE"/>
    <w:rsid w:val="00820E00"/>
    <w:rsid w:val="009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2277-2739-4EDA-A39B-B3A68CD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0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0E0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E00"/>
  </w:style>
  <w:style w:type="character" w:styleId="a6">
    <w:name w:val="Hyperlink"/>
    <w:uiPriority w:val="99"/>
    <w:unhideWhenUsed/>
    <w:rsid w:val="00820E0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20E00"/>
    <w:rPr>
      <w:color w:val="800080"/>
      <w:u w:val="single"/>
    </w:rPr>
  </w:style>
  <w:style w:type="character" w:styleId="a8">
    <w:name w:val="Strong"/>
    <w:uiPriority w:val="22"/>
    <w:qFormat/>
    <w:rsid w:val="00820E00"/>
    <w:rPr>
      <w:b/>
      <w:bCs/>
    </w:rPr>
  </w:style>
  <w:style w:type="character" w:styleId="a9">
    <w:name w:val="Emphasis"/>
    <w:uiPriority w:val="20"/>
    <w:qFormat/>
    <w:rsid w:val="00820E00"/>
    <w:rPr>
      <w:i/>
      <w:iCs/>
    </w:rPr>
  </w:style>
  <w:style w:type="paragraph" w:styleId="aa">
    <w:name w:val="Normal (Web)"/>
    <w:basedOn w:val="a"/>
    <w:uiPriority w:val="99"/>
    <w:unhideWhenUsed/>
    <w:rsid w:val="00820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20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2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0E0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2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0E00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820E0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20E00"/>
  </w:style>
  <w:style w:type="table" w:customStyle="1" w:styleId="12">
    <w:name w:val="Сетка таблицы1"/>
    <w:basedOn w:val="a1"/>
    <w:next w:val="ab"/>
    <w:uiPriority w:val="59"/>
    <w:rsid w:val="00820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20E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820E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820E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20E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820E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820E0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20E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20E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20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20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20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20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20E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5D9F1"/>
      <w:sz w:val="16"/>
      <w:szCs w:val="16"/>
      <w:lang w:eastAsia="ru-RU"/>
    </w:rPr>
  </w:style>
  <w:style w:type="paragraph" w:customStyle="1" w:styleId="xl94">
    <w:name w:val="xl9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820E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20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21">
    <w:name w:val="xl121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820E0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FF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FF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82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820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34">
    <w:name w:val="xl134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82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820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820E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820E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820E0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CC99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820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820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82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820E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820E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820E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820E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820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84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6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2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3696</Words>
  <Characters>21068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Анонс (полный бизнес-план будет предоставлен по требованию)</vt:lpstr>
      <vt:lpstr/>
      <vt:lpstr/>
      <vt:lpstr/>
      <vt:lpstr/>
      <vt:lpstr>БИЗНЕС ПЛАН ПРОЕКТА</vt:lpstr>
      <vt:lpstr>«Мост в будущее. Наставники» - сопровождение выпускников детских домов и замещаю</vt:lpstr>
      <vt:lpstr/>
      <vt:lpstr/>
      <vt:lpstr/>
      <vt:lpstr>    </vt:lpstr>
      <vt:lpstr>    </vt:lpstr>
      <vt:lpstr>    </vt:lpstr>
      <vt:lpstr>    Ханты-Мансийск 2019</vt:lpstr>
      <vt:lpstr>    </vt:lpstr>
      <vt:lpstr>    Автор: Шаламов Андрей Владимирович (моб. 89129024570)</vt:lpstr>
      <vt:lpstr>    </vt:lpstr>
      <vt:lpstr>    Ключевые финансовые показатели проекта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Шаламов</cp:lastModifiedBy>
  <cp:revision>2</cp:revision>
  <dcterms:created xsi:type="dcterms:W3CDTF">2019-06-12T11:26:00Z</dcterms:created>
  <dcterms:modified xsi:type="dcterms:W3CDTF">2019-06-12T11:26:00Z</dcterms:modified>
</cp:coreProperties>
</file>