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34" w:rsidRDefault="004D1F34" w:rsidP="004D1F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34" w:rsidRPr="00667FFB" w:rsidRDefault="004D1F34" w:rsidP="004D1F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D1F34" w:rsidRPr="00667FFB" w:rsidTr="00832D75">
        <w:tc>
          <w:tcPr>
            <w:tcW w:w="9571" w:type="dxa"/>
            <w:shd w:val="clear" w:color="auto" w:fill="C0C0C0"/>
          </w:tcPr>
          <w:p w:rsidR="004D1F34" w:rsidRPr="00667FFB" w:rsidRDefault="004D1F34" w:rsidP="004D1F3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FF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проект «В трудную минуту»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обеспечение проекта и создание необходимой документации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этапа создается Оргкомитет по реализации проекта, в состав которой включаются представители инициативной группы, а также партнеров поекта,  разрабатывается и утверждается план работы по реализации проекта.   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Формирование ресурсной базы реализации проекта 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Работа по разработке макетов символики  и атрибутики проекта, изготовление и приобретение комплектов символики и атрибутики проекта; определение мест для проведения мероприятий; приобретение необходимого спортивного, мультимедиа и другого оборудования для реализации мероприятий.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>3 Реализация проекта на территории Архангельской области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проект в соответствии с разработанным планом  мероприятий.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Для участников  с</w:t>
            </w:r>
            <w:r w:rsidRPr="00667FFB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оциального проекта «В трудную минуту»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музыкальные, творческие, спортивные, интеллектуальные мероприятия. В рамках реализации основных мероприятий проводится торжественный старт и окончание работы проекта, определение планов развития проекта на последующие года, перспективных направлений развития в регионе, взможностей масштабиуемости.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Информационная составляющая проведенных мероприятий проекта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80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информации о мероприятиях проекта представителям целевой аудитории, информирование о старте проекта, ходе его проведения и результатах. Проводится на протяжении реализации проекта в нескольких социальных сетях и информационных ресурсах, в том числе привлекаются региональные и федеральные СМИ. Планируется задействовать популярные социальные сети и более 3-х информационных источников, различного уровня.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>5. Подведение итогов проекта, достижение целевых показателей, обратная связь, отчетная документция</w:t>
            </w:r>
          </w:p>
        </w:tc>
      </w:tr>
      <w:tr w:rsidR="004D1F34" w:rsidRPr="00667FFB" w:rsidTr="00832D75">
        <w:tc>
          <w:tcPr>
            <w:tcW w:w="9571" w:type="dxa"/>
          </w:tcPr>
          <w:p w:rsidR="004D1F34" w:rsidRPr="00667FFB" w:rsidRDefault="004D1F34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работы, эвыводы о степени достижения поставленных целей и задач, внесение предложений по проведению мероприятий проекта в следующем году (выявление положительных и отрицательных моментов, необходимость доработки); создания презентационного видеоролика проекта, информационной брошюры и журнала; освещения результатов проекта в СМИ и других информационных источниках; обработка отзывов, выполнение отчетов по проекту.</w:t>
            </w:r>
          </w:p>
        </w:tc>
      </w:tr>
    </w:tbl>
    <w:p w:rsidR="002819EF" w:rsidRDefault="00CA5F78"/>
    <w:p w:rsidR="00CA5F78" w:rsidRDefault="00CA5F7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945"/>
        <w:gridCol w:w="2073"/>
        <w:gridCol w:w="3927"/>
      </w:tblGrid>
      <w:tr w:rsidR="00CA5F78" w:rsidRPr="00667FFB" w:rsidTr="00832D75">
        <w:tc>
          <w:tcPr>
            <w:tcW w:w="9571" w:type="dxa"/>
            <w:gridSpan w:val="4"/>
            <w:shd w:val="clear" w:color="auto" w:fill="C0C0C0"/>
          </w:tcPr>
          <w:p w:rsidR="00CA5F78" w:rsidRPr="00667FFB" w:rsidRDefault="00CA5F78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FF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проект «В трудную минуту»</w:t>
            </w:r>
          </w:p>
        </w:tc>
      </w:tr>
      <w:tr w:rsidR="00CA5F78" w:rsidRPr="00667FFB" w:rsidTr="00832D75">
        <w:tblPrEx>
          <w:tblLook w:val="0000"/>
        </w:tblPrEx>
        <w:trPr>
          <w:cantSplit/>
          <w:tblHeader/>
        </w:trPr>
        <w:tc>
          <w:tcPr>
            <w:tcW w:w="626" w:type="dxa"/>
            <w:shd w:val="clear" w:color="auto" w:fill="C0C0C0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shd w:val="clear" w:color="auto" w:fill="C0C0C0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3" w:type="dxa"/>
            <w:shd w:val="clear" w:color="auto" w:fill="C0C0C0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Сроки 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(дд.мм</w:t>
            </w:r>
            <w:proofErr w:type="gramStart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.г</w:t>
            </w:r>
            <w:proofErr w:type="gramEnd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927" w:type="dxa"/>
            <w:shd w:val="clear" w:color="auto" w:fill="C0C0C0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Поиск и привлечение организаций – партнеров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До 25.09.2018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Определены учреждения города Архангельска для проведения проекта   в период с 26.01.2019 по 30.05.2019.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оказание транспортных услуг, приобретения оборудования (материалов) и символики (атрибутики), изготовления информационной продукции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15.01.2019 – 30.05.2019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договора на оказание транспортных услуг, приобретения оборудования (материалов) и символики (атрибутики)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о приобретении материальных запасов, изготовления информационной продукции проекта.</w:t>
            </w:r>
          </w:p>
        </w:tc>
      </w:tr>
      <w:tr w:rsidR="00CA5F78" w:rsidRPr="00667FFB" w:rsidTr="00832D75">
        <w:tblPrEx>
          <w:tblLook w:val="0000"/>
        </w:tblPrEx>
        <w:trPr>
          <w:cantSplit/>
          <w:trHeight w:val="967"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Разработка макетов символики и атрибутики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До 30.01.2019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Созданы макеты итоговой символики и атрибутики проекта.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Формирование  программы мероприятий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До 30.01.2019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Сформирована программа  проекта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Старт проекта 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Проведен торжественный старт проекта.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01.02.2019 – 30.05.2019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Реализован  проект в соответствии с разработанным планом  мероприятий, для участников проекта  организовано не менее 10 мероприятий, следующих направлений: обучающие,   творческие, спортивные, музыкальные, в том числе акции и праздники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 работы завершение работы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Вручены благодарственные письма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памятные призы участникам, организаторам проекта. Определены лучшие бойцы исполнители. 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Создание и изготовление информационных материалов по работе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01.03.2019 - 30.05.2019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и изготовлены презентационный видеоролик, информационная брошюра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журнал проекта. 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мероприятий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01.02.2019 - 30.05.2019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распространена и донесена до  СМИ и популярных социальных сетях. Количество упоминаний о проекте более 10 шт.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До 30.05.2018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Проведены анкетирования среди участников проекта, сформирована база отзывов о проекте и определены потенциальные точки роста (развития) проекта.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проекта 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До 30.10.2019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Освещены результаты работы проекта не менее 2 раз.</w:t>
            </w:r>
          </w:p>
        </w:tc>
      </w:tr>
      <w:tr w:rsidR="00CA5F78" w:rsidRPr="00667FFB" w:rsidTr="00832D75">
        <w:tblPrEx>
          <w:tblLook w:val="0000"/>
        </w:tblPrEx>
        <w:trPr>
          <w:cantSplit/>
        </w:trPr>
        <w:tc>
          <w:tcPr>
            <w:tcW w:w="626" w:type="dxa"/>
            <w:vAlign w:val="center"/>
          </w:tcPr>
          <w:p w:rsidR="00CA5F78" w:rsidRPr="00667FFB" w:rsidRDefault="00CA5F78" w:rsidP="00832D75">
            <w:pPr>
              <w:tabs>
                <w:tab w:val="left" w:pos="851"/>
              </w:tabs>
              <w:spacing w:after="0" w:line="240" w:lineRule="auto"/>
              <w:ind w:left="720" w:righ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CA5F78" w:rsidRPr="00667FFB" w:rsidRDefault="00CA5F78" w:rsidP="008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отчета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о результатах проекта</w:t>
            </w:r>
          </w:p>
        </w:tc>
        <w:tc>
          <w:tcPr>
            <w:tcW w:w="2073" w:type="dxa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До 30.06.2019</w:t>
            </w:r>
          </w:p>
        </w:tc>
        <w:tc>
          <w:tcPr>
            <w:tcW w:w="3927" w:type="dxa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все итоги и сдан отчет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о результатах проекта.</w:t>
            </w:r>
          </w:p>
        </w:tc>
      </w:tr>
    </w:tbl>
    <w:p w:rsidR="00CA5F78" w:rsidRDefault="00CA5F78" w:rsidP="00CA5F78"/>
    <w:tbl>
      <w:tblPr>
        <w:tblW w:w="104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545"/>
        <w:gridCol w:w="998"/>
        <w:gridCol w:w="1401"/>
        <w:gridCol w:w="998"/>
        <w:gridCol w:w="1284"/>
        <w:gridCol w:w="2407"/>
      </w:tblGrid>
      <w:tr w:rsidR="00CA5F78" w:rsidRPr="00667FFB" w:rsidTr="00832D75">
        <w:trPr>
          <w:cantSplit/>
          <w:trHeight w:val="692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F78" w:rsidRPr="00667FFB" w:rsidRDefault="00CA5F78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Детализированная смета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FF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проект «В трудную минуту»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F78" w:rsidRPr="00667FFB" w:rsidRDefault="00CA5F78" w:rsidP="00832D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Стоимость (ед.), руб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Оплата услуг привлеченных специалистов, принимающих участие в реализации</w:t>
            </w:r>
          </w:p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450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Договора ГПХ (3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х300 часов).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Страховые взносы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12195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27,1%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п.2 Издательско-полиграфические услуги, в том числе изготовление макета, разработка дизайна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Услуги по дизайну и разработке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макетов символики проекта, информационных и презентационных материалов 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полиграфической продукции (информационная брошюра А</w:t>
            </w:r>
            <w:proofErr w:type="gramStart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proofErr w:type="gramEnd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, банерная продукция, макет значков с символикой проекта, разработка макета и публикационной версии журнала, разработка макета кружки софттач, разработка макета пакета с символ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икой проекта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Комплексная разработка дизайн макетов проекта в единой стилистике.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Информационная брошюра А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. Печать двухсторонняя полноцветная.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информационный и презентационный материал результатов проекта среди потенциальных участников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официальных лиц.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Презентационный журнал проекта А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. Печать двухсторонняя полноцветная, 20 стр.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239,00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11950,00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Раздаточный информационный и презентационный материал результатов проекта среди потенциальных участников проекта, медицинских учреждений и официальных лиц.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п.3 Расходы на подарки, сувенирную продукцию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Набор участника</w:t>
            </w:r>
          </w:p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667FFB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с символикой проекта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1640,00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16400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В комплект входит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костымы для поведения меоприятий.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Наборы для награждения наиболее активным участникам проекта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3300,00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комплект входит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принадлежности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символики проекта.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Кружка софттач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с символикой проекта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397,80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5967,00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Подарочная (сувенирная продукция) с символикой проекта.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Пакет из ПВД 30 * 40 см с символикой проекта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72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раздаточной и подарочной продукции.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Значок металлический с символикой проекта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Металлический значок диаметром 25 мм для участников мероприятий проекта, в качестве раздаточного материала.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Кубок наградной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1202,25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48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Кубки для награждения победителей мероприятий проекта.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п.5 Транспортные расходы (приобретение ави</w:t>
            </w:r>
            <w:proofErr w:type="gramStart"/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железнодорожных билетов, горюче-смазочных материалов, аренда автотранспорта)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FB09B4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09B4">
              <w:rPr>
                <w:rFonts w:ascii="Times New Roman" w:hAnsi="Times New Roman" w:cs="Times New Roman"/>
                <w:bCs/>
                <w:sz w:val="24"/>
                <w:szCs w:val="24"/>
              </w:rPr>
              <w:t>Пиобретение горюче-смазочных материалов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89" w:right="-1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43,80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13140,00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Аренда транспорта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14800,00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14800,00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Аренда автотранспорта производится для транспортировки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до места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удаленного мероприятия</w:t>
            </w:r>
          </w:p>
        </w:tc>
      </w:tr>
      <w:tr w:rsidR="00CA5F78" w:rsidRPr="00667FFB" w:rsidTr="00832D75">
        <w:trPr>
          <w:cantSplit/>
          <w:trHeight w:val="107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п.9 Приобретение оборудования</w:t>
            </w:r>
          </w:p>
        </w:tc>
      </w:tr>
      <w:tr w:rsidR="00CA5F78" w:rsidRPr="00667FFB" w:rsidTr="00832D75">
        <w:trPr>
          <w:cantSplit/>
          <w:trHeight w:val="112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Наушники JBL T450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частота,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– 20.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частота,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– 20000.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Материал корпуса – пластик.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Тип разъема кабеля – 3,5мм (4х контактный).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Тип излучателя –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динамические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Количество излучателей – 1.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Сопротивление, Ом – 32.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1490,00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1490,00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работы комплекта виртуальной реальности.</w:t>
            </w:r>
          </w:p>
        </w:tc>
      </w:tr>
      <w:tr w:rsidR="00CA5F78" w:rsidRPr="00667FFB" w:rsidTr="00832D75">
        <w:trPr>
          <w:cantSplit/>
          <w:trHeight w:val="107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мышь (беспроводная) Sven RX-345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сенсора мыши  оптический светодиодный. Максимальное разрешение датчика 1400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. Общее количество кнопок 6. Тип подключения –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беспроводная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proofErr w:type="gramEnd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работы комплекта виртуальной реальности.</w:t>
            </w:r>
          </w:p>
        </w:tc>
      </w:tr>
      <w:tr w:rsidR="00CA5F78" w:rsidRPr="00667FFB" w:rsidTr="00832D75">
        <w:trPr>
          <w:cantSplit/>
          <w:trHeight w:val="15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LED Erisson 42LEA17T2G золотистый диагональ 42 (106 см). Тип телевизора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. Тип экрана –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Edge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. Диагональ экрана 106 см. Разрешение экрана 1920*1080 (</w:t>
            </w:r>
            <w:proofErr w:type="spellStart"/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proofErr w:type="spell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). Частота обновления экрана 50 Гц.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proofErr w:type="gramEnd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19999,00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19999,00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работы комплекта виртуальной реальности.</w:t>
            </w:r>
          </w:p>
        </w:tc>
      </w:tr>
      <w:tr w:rsidR="00CA5F78" w:rsidRPr="00667FFB" w:rsidTr="00832D75">
        <w:trPr>
          <w:cantSplit/>
          <w:trHeight w:val="150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DEXP Jupiter P122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 процессора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5 7400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ядер  процессора 4. Частота процессора 3000 МГц. Автоматическое увеличение частоты 3500 МГц. Тип видеокарты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дискретная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Производитель видеочипа </w:t>
            </w:r>
            <w:proofErr w:type="spellStart"/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. Тип видеопамяти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GDDR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5.Объем видеопамяти 4095 МБ.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оперативной памяти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4. Размер оперативной памяти 8 ГБ.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proofErr w:type="gramEnd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47999,00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47999,00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работы комплекта виртуальной реальности.</w:t>
            </w:r>
          </w:p>
        </w:tc>
      </w:tr>
      <w:tr w:rsidR="00CA5F78" w:rsidRPr="00667FFB" w:rsidTr="00832D75">
        <w:trPr>
          <w:cantSplit/>
          <w:trHeight w:val="13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BE349E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Очки виртуальной реальности Oculus Rift CV1 + контроллеры Touch  Видеокарта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NVIDIA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1060. Оперативная память 8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E349E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E349E">
              <w:rPr>
                <w:rFonts w:ascii="Times New Roman" w:hAnsi="Times New Roman" w:cs="Times New Roman"/>
                <w:sz w:val="24"/>
                <w:szCs w:val="24"/>
              </w:rPr>
              <w:t xml:space="preserve">1 64. 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E3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E349E">
              <w:rPr>
                <w:rFonts w:ascii="Times New Roman" w:hAnsi="Times New Roman" w:cs="Times New Roman"/>
                <w:sz w:val="24"/>
                <w:szCs w:val="24"/>
              </w:rPr>
              <w:t>5- 4590.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36490,00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36490,00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работы комплекта виртуальной реальности.</w:t>
            </w:r>
          </w:p>
        </w:tc>
      </w:tr>
      <w:tr w:rsidR="00CA5F78" w:rsidRPr="00667FFB" w:rsidTr="00832D75">
        <w:trPr>
          <w:cantSplit/>
          <w:trHeight w:val="13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Комплект беспроводных микрофонов радиосистема Shure BLX288E\PG58 M 17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Время автономной работы,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Минимальная частота, МГц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ab/>
              <w:t>662.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Максимальная частота, МГц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ab/>
              <w:t>686.</w:t>
            </w:r>
          </w:p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Радиус действия,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ab/>
              <w:t>100.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54990,00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54990,00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 проекта (15 мероприятий)</w:t>
            </w:r>
          </w:p>
        </w:tc>
      </w:tr>
      <w:tr w:rsidR="00CA5F78" w:rsidRPr="00667FFB" w:rsidTr="00832D75">
        <w:trPr>
          <w:cantSplit/>
          <w:trHeight w:val="13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Портативная система звукоусиления Behringerv PPA2000вт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 2000 Вт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каналов 8. Количество 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микрофонных</w:t>
            </w:r>
            <w:proofErr w:type="gramEnd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 предусилителей 4.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 акустических систем 2*1000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Размер высокочастотного динамика 1 дюйм</w:t>
            </w:r>
            <w:r w:rsidRPr="00667FFB">
              <w:rPr>
                <w:rFonts w:ascii="Times New Roman" w:hAnsi="Times New Roman" w:cs="Times New Roman"/>
                <w:sz w:val="24"/>
                <w:szCs w:val="24"/>
              </w:rPr>
              <w:br/>
              <w:t>Размер низкочастотного динамика 10 дюймов. Габариты 0,66*0,36*0,88 м. Вес 31 кг.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proofErr w:type="gramEnd"/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55790,00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55790,00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Для проведения мероприятий проекта (15 мероприятий)</w:t>
            </w:r>
          </w:p>
        </w:tc>
      </w:tr>
      <w:tr w:rsidR="00CA5F78" w:rsidRPr="00667FFB" w:rsidTr="00832D75">
        <w:trPr>
          <w:cantSplit/>
          <w:trHeight w:val="131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п.15 Расходы на проведение мероприятий, реализуемых  </w:t>
            </w:r>
            <w:proofErr w:type="gramStart"/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66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проекта.</w:t>
            </w:r>
          </w:p>
        </w:tc>
      </w:tr>
      <w:tr w:rsidR="00CA5F78" w:rsidRPr="00667FFB" w:rsidTr="00832D75">
        <w:trPr>
          <w:cantSplit/>
          <w:trHeight w:val="13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и проведению спортивного мероприятия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21320,00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21320,00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Культурно – массовые мероприятия в рамках проекта</w:t>
            </w:r>
            <w:proofErr w:type="gramStart"/>
            <w:r w:rsidRPr="00667FF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CA5F78" w:rsidRPr="00667FFB" w:rsidTr="00832D75">
        <w:trPr>
          <w:cantSplit/>
          <w:trHeight w:val="150"/>
        </w:trPr>
        <w:tc>
          <w:tcPr>
            <w:tcW w:w="10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п.16</w:t>
            </w:r>
            <w:proofErr w:type="gramStart"/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66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расходы</w:t>
            </w:r>
          </w:p>
        </w:tc>
      </w:tr>
      <w:tr w:rsidR="00CA5F78" w:rsidRPr="00667FFB" w:rsidTr="00832D75">
        <w:trPr>
          <w:cantSplit/>
          <w:trHeight w:val="13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Услуга по съемке и монтажу презентационного видеоролика проекта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Услуга.</w:t>
            </w:r>
          </w:p>
          <w:p w:rsidR="00CA5F78" w:rsidRPr="00667FFB" w:rsidRDefault="00CA5F78" w:rsidP="00832D7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A5F78" w:rsidRPr="00667FFB" w:rsidRDefault="00CA5F78" w:rsidP="00832D7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демонстрирующий результаты проекта и опыт проведения, необходим для распространения результатов проекта в информационном поле. Включает в себя съемку и монтаж видеоролика проекта.</w:t>
            </w:r>
          </w:p>
        </w:tc>
      </w:tr>
      <w:tr w:rsidR="00CA5F78" w:rsidRPr="00667FFB" w:rsidTr="00832D75">
        <w:trPr>
          <w:cantSplit/>
          <w:trHeight w:val="348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78" w:rsidRPr="00667FFB" w:rsidRDefault="00CA5F78" w:rsidP="00832D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78" w:rsidRPr="00667FFB" w:rsidRDefault="00CA5F78" w:rsidP="00832D7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67FFB"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460979,00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CA5F78" w:rsidRPr="00667FFB" w:rsidRDefault="00CA5F78" w:rsidP="00832D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A5F78" w:rsidRDefault="00CA5F78" w:rsidP="00CA5F78"/>
    <w:p w:rsidR="00CA5F78" w:rsidRDefault="00CA5F78"/>
    <w:sectPr w:rsidR="00CA5F78" w:rsidSect="005D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F34"/>
    <w:rsid w:val="0000619C"/>
    <w:rsid w:val="002D0334"/>
    <w:rsid w:val="004D1F34"/>
    <w:rsid w:val="005D7359"/>
    <w:rsid w:val="00612E09"/>
    <w:rsid w:val="00A54445"/>
    <w:rsid w:val="00CA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F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F7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3">
    <w:name w:val="List Paragraph"/>
    <w:basedOn w:val="a"/>
    <w:uiPriority w:val="34"/>
    <w:qFormat/>
    <w:rsid w:val="00CA5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2018-08-15T19:49:00Z</dcterms:created>
  <dcterms:modified xsi:type="dcterms:W3CDTF">2018-08-15T19:49:00Z</dcterms:modified>
</cp:coreProperties>
</file>