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59" w:rsidRDefault="00116459" w:rsidP="00116459">
      <w:pPr>
        <w:autoSpaceDE w:val="0"/>
        <w:autoSpaceDN w:val="0"/>
        <w:adjustRightInd w:val="0"/>
        <w:spacing w:after="0" w:line="240" w:lineRule="auto"/>
        <w:jc w:val="both"/>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ПРАВИТЕЛЬСТВО РОССИЙСКОЙ ФЕДЕРАЦИИ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22 апреля 2019 г. N 480</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КРИТЕРИЯХ,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ОПРЕДЕЛЯЮЩИХ</w:t>
      </w:r>
      <w:proofErr w:type="gramEnd"/>
      <w:r>
        <w:rPr>
          <w:rFonts w:ascii="Arial CYR" w:hAnsi="Arial CYR" w:cs="Arial CYR"/>
          <w:b/>
          <w:bCs/>
          <w:sz w:val="16"/>
          <w:szCs w:val="16"/>
        </w:rPr>
        <w:t xml:space="preserve"> СТЕПЕНЬ ГОТОВНОСТИ МНОГОКВАРТИРНОГО ДОМА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(ИЛИ) ИНОГО ОБЪЕКТА НЕДВИЖИМОСТИ И КОЛИЧЕСТВО ЗАКЛЮЧЕННЫХ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ДОГОВОРОВ УЧАСТИЯ В ДОЛЕВОМ СТРОИТЕЛЬСТВЕ, ПРИ УСЛОВИИ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СООТВЕТСТВИЯ</w:t>
      </w:r>
      <w:proofErr w:type="gramEnd"/>
      <w:r>
        <w:rPr>
          <w:rFonts w:ascii="Arial CYR" w:hAnsi="Arial CYR" w:cs="Arial CYR"/>
          <w:b/>
          <w:bCs/>
          <w:sz w:val="16"/>
          <w:szCs w:val="16"/>
        </w:rPr>
        <w:t xml:space="preserve"> КОТОРЫМ ЗАСТРОЙЩИКУ ПРЕДОСТАВЛЯЕТСЯ ПРАВО</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НА ПРИВЛЕЧЕНИЕ ДЕНЕЖНЫХ СРЕДСТВ УЧАСТНИКОВ </w:t>
      </w:r>
      <w:proofErr w:type="gramStart"/>
      <w:r>
        <w:rPr>
          <w:rFonts w:ascii="Arial CYR" w:hAnsi="Arial CYR" w:cs="Arial CYR"/>
          <w:b/>
          <w:bCs/>
          <w:sz w:val="16"/>
          <w:szCs w:val="16"/>
        </w:rPr>
        <w:t>ДОЛЕВОГО</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СТРОИТЕЛЬСТВА БЕЗ ИСПОЛЬЗОВАНИЯ СЧЕТОВ, ПРЕДУСМОТРЕННЫХ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СТАТЬЕЙ 15.4 ФЕДЕРАЛЬНОГО ЗАКОНА "ОБ УЧАСТИИ </w:t>
      </w:r>
      <w:proofErr w:type="gramStart"/>
      <w:r>
        <w:rPr>
          <w:rFonts w:ascii="Arial CYR" w:hAnsi="Arial CYR" w:cs="Arial CYR"/>
          <w:b/>
          <w:bCs/>
          <w:sz w:val="16"/>
          <w:szCs w:val="16"/>
        </w:rPr>
        <w:t>В</w:t>
      </w:r>
      <w:proofErr w:type="gramEnd"/>
      <w:r>
        <w:rPr>
          <w:rFonts w:ascii="Arial CYR" w:hAnsi="Arial CYR" w:cs="Arial CYR"/>
          <w:b/>
          <w:bCs/>
          <w:sz w:val="16"/>
          <w:szCs w:val="16"/>
        </w:rPr>
        <w:t xml:space="preserve"> ДОЛЕВОМ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СТРОИТЕЛЬСТВЕ</w:t>
      </w:r>
      <w:proofErr w:type="gramEnd"/>
      <w:r>
        <w:rPr>
          <w:rFonts w:ascii="Arial CYR" w:hAnsi="Arial CYR" w:cs="Arial CYR"/>
          <w:b/>
          <w:bCs/>
          <w:sz w:val="16"/>
          <w:szCs w:val="16"/>
        </w:rPr>
        <w:t xml:space="preserve"> МНОГОКВАРТИРНЫХ ДОМОВ И ИНЫХ ОБЪЕКТОВ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НЕДВИЖИМОСТИ И О ВНЕСЕНИИ ИЗМЕНЕНИЙ В НЕКОТОРЫЕ</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ЗАКОНОДАТЕЛЬНЫЕ АКТЫ РОССИЙСКОЙ ФЕДЕРАЦИИ", ПО ДОГОВОРАМ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УЧАСТИЯ В ДОЛЕВОМ СТРОИТЕЛЬСТВЕ, ПРЕДСТАВЛЕННЫМ</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ГОСУДАРСТВЕННУЮ РЕГИСТРАЦИЮ ПОСЛЕ 1 ИЮЛЯ 2019 Г.</w:t>
      </w:r>
    </w:p>
    <w:p w:rsidR="00116459" w:rsidRDefault="00116459" w:rsidP="00116459">
      <w:pPr>
        <w:autoSpaceDE w:val="0"/>
        <w:autoSpaceDN w:val="0"/>
        <w:adjustRightInd w:val="0"/>
        <w:spacing w:after="0" w:line="240" w:lineRule="auto"/>
        <w:jc w:val="center"/>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В соответствии с </w:t>
      </w:r>
      <w:hyperlink r:id="rId5" w:history="1">
        <w:r>
          <w:rPr>
            <w:rFonts w:ascii="Arial CYR" w:hAnsi="Arial CYR" w:cs="Arial CYR"/>
            <w:color w:val="0000FF"/>
            <w:sz w:val="16"/>
            <w:szCs w:val="16"/>
            <w:u w:val="single"/>
          </w:rPr>
          <w:t>частью 16 статьи 8</w:t>
        </w:r>
      </w:hyperlink>
      <w:r>
        <w:rPr>
          <w:rFonts w:ascii="Arial CYR" w:hAnsi="Arial CYR" w:cs="Arial CYR"/>
          <w:sz w:val="16"/>
          <w:szCs w:val="16"/>
        </w:rPr>
        <w:t xml:space="preserve"> Федерального закона от 25 декабря 2018 г.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Правительство Российской Федерации постановляет:</w:t>
      </w:r>
      <w:proofErr w:type="gramEnd"/>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Утвердить прилагаемые: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hyperlink r:id="rId6" w:history="1">
        <w:proofErr w:type="gramStart"/>
        <w:r>
          <w:rPr>
            <w:rFonts w:ascii="Arial CYR" w:hAnsi="Arial CYR" w:cs="Arial CYR"/>
            <w:color w:val="0000FF"/>
            <w:sz w:val="16"/>
            <w:szCs w:val="16"/>
            <w:u w:val="single"/>
          </w:rPr>
          <w:t>критерии</w:t>
        </w:r>
      </w:hyperlink>
      <w:r>
        <w:rPr>
          <w:rFonts w:ascii="Arial CYR" w:hAnsi="Arial CYR" w:cs="Arial CYR"/>
          <w:sz w:val="16"/>
          <w:szCs w:val="16"/>
        </w:rPr>
        <w:t>, определяющие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rFonts w:ascii="Arial CYR" w:hAnsi="Arial CYR" w:cs="Arial CYR"/>
          <w:sz w:val="16"/>
          <w:szCs w:val="16"/>
        </w:rPr>
        <w:t xml:space="preserve"> Российской Федерации", по договорам участия в долевом строительстве, представленным на государственную регистрацию после 1 июля 2019 г. (далее - критерии);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hyperlink r:id="rId7" w:history="1">
        <w:proofErr w:type="gramStart"/>
        <w:r>
          <w:rPr>
            <w:rFonts w:ascii="Arial CYR" w:hAnsi="Arial CYR" w:cs="Arial CYR"/>
            <w:color w:val="0000FF"/>
            <w:sz w:val="16"/>
            <w:szCs w:val="16"/>
            <w:u w:val="single"/>
          </w:rPr>
          <w:t>методику</w:t>
        </w:r>
      </w:hyperlink>
      <w:r>
        <w:rPr>
          <w:rFonts w:ascii="Arial CYR" w:hAnsi="Arial CYR" w:cs="Arial CYR"/>
          <w:sz w:val="16"/>
          <w:szCs w:val="16"/>
        </w:rPr>
        <w:t xml:space="preserve">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w:t>
      </w:r>
      <w:proofErr w:type="gramEnd"/>
      <w:r>
        <w:rPr>
          <w:rFonts w:ascii="Arial CYR" w:hAnsi="Arial CYR" w:cs="Arial CYR"/>
          <w:sz w:val="16"/>
          <w:szCs w:val="16"/>
        </w:rPr>
        <w:t xml:space="preserve">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hyperlink r:id="rId8" w:history="1">
        <w:proofErr w:type="gramStart"/>
        <w:r>
          <w:rPr>
            <w:rFonts w:ascii="Arial CYR" w:hAnsi="Arial CYR" w:cs="Arial CYR"/>
            <w:color w:val="0000FF"/>
            <w:sz w:val="16"/>
            <w:szCs w:val="16"/>
            <w:u w:val="single"/>
          </w:rPr>
          <w:t>перечень</w:t>
        </w:r>
      </w:hyperlink>
      <w:r>
        <w:rPr>
          <w:rFonts w:ascii="Arial CYR" w:hAnsi="Arial CYR" w:cs="Arial CYR"/>
          <w:sz w:val="16"/>
          <w:szCs w:val="16"/>
        </w:rPr>
        <w:t xml:space="preserve"> документов, представляемых застройщиком для определения соответствия многоквартирного дома и (или) иного объекта недвижимости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w:t>
      </w:r>
      <w:proofErr w:type="gramEnd"/>
      <w:r>
        <w:rPr>
          <w:rFonts w:ascii="Arial CYR" w:hAnsi="Arial CYR" w:cs="Arial CYR"/>
          <w:sz w:val="16"/>
          <w:szCs w:val="16"/>
        </w:rPr>
        <w:t xml:space="preserve">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Министерству строительства и жилищно-коммунального хозяйства Российской Федерации в месячный срок:</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утвердить форму заявления о готовности проекта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создать межведомственную комиссию по определению соответствия застройщиков условиям, предусмотренным </w:t>
      </w:r>
      <w:hyperlink r:id="rId9" w:history="1">
        <w:r>
          <w:rPr>
            <w:rFonts w:ascii="Arial CYR" w:hAnsi="Arial CYR" w:cs="Arial CYR"/>
            <w:color w:val="0000FF"/>
            <w:sz w:val="16"/>
            <w:szCs w:val="16"/>
            <w:u w:val="single"/>
          </w:rPr>
          <w:t>абзацем вторым подпункта "в" пункта 3</w:t>
        </w:r>
      </w:hyperlink>
      <w:r>
        <w:rPr>
          <w:rFonts w:ascii="Arial CYR" w:hAnsi="Arial CYR" w:cs="Arial CYR"/>
          <w:sz w:val="16"/>
          <w:szCs w:val="16"/>
        </w:rPr>
        <w:t xml:space="preserve"> критериев, и утвердить положение об указанной комиссии и ее состав;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создать комиссию по рассмотрению практики взаимодействия застройщиков и органов исполнительной власти субъектов Российской Федерации, осуществляющих контроль (надзор) в области долевого строительства, при принятии решения о соответствии (несоответствии) застройщика критериям и утвердить положение об указанной комиссии и ее состав.</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Председатель Правительства</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Д.МЕДВЕДЕВ</w:t>
      </w: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22 апреля 2019 г. N 480</w:t>
      </w: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КРИТЕРИИ,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ОПРЕДЕЛЯЮЩИЕ СТЕПЕНЬ ГОТОВНОСТИ МНОГОКВАРТИРНОГО ДОМА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(ИЛИ) ИНОГО ОБЪЕКТА НЕДВИЖИМОСТИ И КОЛИЧЕСТВО ЗАКЛЮЧЕННЫХ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ДОГОВОРОВ УЧАСТИЯ В ДОЛЕВОМ СТРОИТЕЛЬСТВЕ, ПРИ УСЛОВИИ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СООТВЕТСТВИЯ</w:t>
      </w:r>
      <w:proofErr w:type="gramEnd"/>
      <w:r>
        <w:rPr>
          <w:rFonts w:ascii="Arial CYR" w:hAnsi="Arial CYR" w:cs="Arial CYR"/>
          <w:b/>
          <w:bCs/>
          <w:sz w:val="16"/>
          <w:szCs w:val="16"/>
        </w:rPr>
        <w:t xml:space="preserve"> КОТОРЫМ ЗАСТРОЙЩИКУ ПРЕДОСТАВЛЯЕТСЯ ПРАВО</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НА ПРИВЛЕЧЕНИЕ ДЕНЕЖНЫХ СРЕДСТВ УЧАСТНИКОВ </w:t>
      </w:r>
      <w:proofErr w:type="gramStart"/>
      <w:r>
        <w:rPr>
          <w:rFonts w:ascii="Arial CYR" w:hAnsi="Arial CYR" w:cs="Arial CYR"/>
          <w:b/>
          <w:bCs/>
          <w:sz w:val="16"/>
          <w:szCs w:val="16"/>
        </w:rPr>
        <w:t>ДОЛЕВОГО</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СТРОИТЕЛЬСТВА БЕЗ ИСПОЛЬЗОВАНИЯ СЧЕТОВ, ПРЕДУСМОТРЕННЫХ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СТАТЬЕЙ 15.4 ФЕДЕРАЛЬНОГО ЗАКОНА "ОБ УЧАСТИИ </w:t>
      </w:r>
      <w:proofErr w:type="gramStart"/>
      <w:r>
        <w:rPr>
          <w:rFonts w:ascii="Arial CYR" w:hAnsi="Arial CYR" w:cs="Arial CYR"/>
          <w:b/>
          <w:bCs/>
          <w:sz w:val="16"/>
          <w:szCs w:val="16"/>
        </w:rPr>
        <w:t>В</w:t>
      </w:r>
      <w:proofErr w:type="gramEnd"/>
      <w:r>
        <w:rPr>
          <w:rFonts w:ascii="Arial CYR" w:hAnsi="Arial CYR" w:cs="Arial CYR"/>
          <w:b/>
          <w:bCs/>
          <w:sz w:val="16"/>
          <w:szCs w:val="16"/>
        </w:rPr>
        <w:t xml:space="preserve"> ДОЛЕВОМ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СТРОИТЕЛЬСТВЕ</w:t>
      </w:r>
      <w:proofErr w:type="gramEnd"/>
      <w:r>
        <w:rPr>
          <w:rFonts w:ascii="Arial CYR" w:hAnsi="Arial CYR" w:cs="Arial CYR"/>
          <w:b/>
          <w:bCs/>
          <w:sz w:val="16"/>
          <w:szCs w:val="16"/>
        </w:rPr>
        <w:t xml:space="preserve"> МНОГОКВАРТИРНЫХ ДОМОВ И ИНЫХ ОБЪЕКТОВ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НЕДВИЖИМОСТИ И О ВНЕСЕНИИ ИЗМЕНЕНИЙ В НЕКОТОРЫЕ</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ЗАКОНОДАТЕЛЬНЫЕ АКТЫ РОССИЙСКОЙ ФЕДЕРАЦИИ", ПО ДОГОВОРАМ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УЧАСТИЯ В ДОЛЕВОМ СТРОИТЕЛЬСТВЕ, ПРЕДСТАВЛЕННЫМ</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ГОСУДАРСТВЕННУЮ РЕГИСТРАЦИЮ ПОСЛЕ 1 ИЮЛЯ 2019 Г.</w:t>
      </w:r>
    </w:p>
    <w:p w:rsidR="00116459" w:rsidRDefault="00116459" w:rsidP="00116459">
      <w:pPr>
        <w:autoSpaceDE w:val="0"/>
        <w:autoSpaceDN w:val="0"/>
        <w:adjustRightInd w:val="0"/>
        <w:spacing w:after="0" w:line="240" w:lineRule="auto"/>
        <w:jc w:val="center"/>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 xml:space="preserve">Многоквартирный дом и (или) иной объект недвижимости либо несколько многоквартирных домов и (или) иных объектов недвижимости в пределах одного разрешения на строительство (далее - проект), возведение которых осуществляется с привлечением денежных средств участников долевого строительства без использования счетов, предусмотренных </w:t>
      </w:r>
      <w:hyperlink r:id="rId10" w:history="1">
        <w:r>
          <w:rPr>
            <w:rFonts w:ascii="Arial CYR" w:hAnsi="Arial CYR" w:cs="Arial CYR"/>
            <w:color w:val="0000FF"/>
            <w:sz w:val="16"/>
            <w:szCs w:val="16"/>
            <w:u w:val="single"/>
          </w:rPr>
          <w:t>статьей 15.4</w:t>
        </w:r>
      </w:hyperlink>
      <w:r>
        <w:rPr>
          <w:rFonts w:ascii="Arial CYR" w:hAnsi="Arial CYR" w:cs="Arial CYR"/>
          <w:sz w:val="16"/>
          <w:szCs w:val="1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Pr>
          <w:rFonts w:ascii="Arial CYR" w:hAnsi="Arial CYR" w:cs="Arial CYR"/>
          <w:sz w:val="16"/>
          <w:szCs w:val="16"/>
        </w:rPr>
        <w:t xml:space="preserve"> акты Российской Федерации", по договорам участия в долевом строительстве, представленным на государственную регистрацию после 1 июля 2019 г., должны одновременно соответствовать критериям, установленным настоящим документом.</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Количество заключенных договоров участия в долевом строительстве подтверждает реализацию участникам долевого строительства не менее 10 процентов общей площади жилых и нежилых помещений, </w:t>
      </w:r>
      <w:proofErr w:type="spellStart"/>
      <w:r>
        <w:rPr>
          <w:rFonts w:ascii="Arial CYR" w:hAnsi="Arial CYR" w:cs="Arial CYR"/>
          <w:sz w:val="16"/>
          <w:szCs w:val="16"/>
        </w:rPr>
        <w:t>машино</w:t>
      </w:r>
      <w:proofErr w:type="spellEnd"/>
      <w:r>
        <w:rPr>
          <w:rFonts w:ascii="Arial CYR" w:hAnsi="Arial CYR" w:cs="Arial CYR"/>
          <w:sz w:val="16"/>
          <w:szCs w:val="16"/>
        </w:rPr>
        <w:t>-мест, в отношении которых могут быть заключены договоры участия в долевом строительстве, указанных в проектной декларации проекта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Степень готовности проекта строительства составляет:</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не менее 30 процентов;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не менее 15 процентов, если реализация такого проекта осуществляется: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рамках заключенных застройщиком договоров о развитии застроенной территории, комплексном освоении территории, в том числе в целях строительства стандартного жилья, комплексном развитии территории по инициативе правообладателей, комплексном развитии территории по инициативе органов местного самоуправления;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рамках иных договоров или соглашений (в том числе инвестиционных), заключенных застройщиком с органом государственной власти или органом местного самоуправления, если такими договорами или соглашениями предусмотрены обязательства застройщика по передаче объектов социальной и (или) инженерно-технической инфраструктуры в государственную или муниципальную собственность и (или) снос ветхого и аварийного жилья;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в соответствии с градостроительным планом земельного участка или документацией по планировке территории, которыми предусмотрены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w:t>
      </w:r>
      <w:proofErr w:type="gramEnd"/>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не менее 6 процентов, если реализация такого проекта осуществляется: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застройщиком, включенным в перечень системообразующих организаций Российской Федерации, утвержденный решением Правительственной комиссии по экономическому развитию и интеграции (далее - перечень системообразующих организаций), или застройщиком, являющимся дочерним обществом в отношении юридического лица, включенного в перечень системообразующих организаций, или застройщиком, контролирующим лицом которого является юридическое лицо, включенное в перечень системообразующих организаций, при условии того, что общая площадь строящихся (создаваемых) указанными застройщиками многоквартирных домов</w:t>
      </w:r>
      <w:proofErr w:type="gramEnd"/>
      <w:r>
        <w:rPr>
          <w:rFonts w:ascii="Arial CYR" w:hAnsi="Arial CYR" w:cs="Arial CYR"/>
          <w:sz w:val="16"/>
          <w:szCs w:val="16"/>
        </w:rPr>
        <w:t xml:space="preserve"> </w:t>
      </w:r>
      <w:proofErr w:type="gramStart"/>
      <w:r>
        <w:rPr>
          <w:rFonts w:ascii="Arial CYR" w:hAnsi="Arial CYR" w:cs="Arial CYR"/>
          <w:sz w:val="16"/>
          <w:szCs w:val="16"/>
        </w:rPr>
        <w:t>в соответствии с выданными разрешениями на строительство в совокупности составляет не менее 4 млн. кв. метров и застройщик, включенный в перечень системообразующих организаций, застройщик, являющийся его дочерним обществом, и застройщик, контролирующим лицом которого является юридическое лицо, включенное в перечень системообразующих организаций, осуществляют привлечение денежных средств участников долевого строительства в отношении строящихся (создаваемых) объектов строительства, которые находятся на территориях не менее</w:t>
      </w:r>
      <w:proofErr w:type="gramEnd"/>
      <w:r>
        <w:rPr>
          <w:rFonts w:ascii="Arial CYR" w:hAnsi="Arial CYR" w:cs="Arial CYR"/>
          <w:sz w:val="16"/>
          <w:szCs w:val="16"/>
        </w:rPr>
        <w:t xml:space="preserve"> чем 4 субъектов Российской Федерации. </w:t>
      </w:r>
      <w:proofErr w:type="gramStart"/>
      <w:r>
        <w:rPr>
          <w:rFonts w:ascii="Arial CYR" w:hAnsi="Arial CYR" w:cs="Arial CYR"/>
          <w:sz w:val="16"/>
          <w:szCs w:val="16"/>
        </w:rPr>
        <w:t>Соответствие указанных застройщиков на день вступления в силу постановления Правительства Российской Федерации от 22 апреля 2019 г. N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w:t>
      </w:r>
      <w:proofErr w:type="gramEnd"/>
      <w:r>
        <w:rPr>
          <w:rFonts w:ascii="Arial CYR" w:hAnsi="Arial CYR" w:cs="Arial CYR"/>
          <w:sz w:val="16"/>
          <w:szCs w:val="16"/>
        </w:rPr>
        <w:t xml:space="preserve">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 требованиям, предусмотренным настоящим абзацем, определяется межведомственной комиссией;</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в соответствии с заключенным застройщиком с органом местного самоуправления либо органом исполнительной власти субъекта Российской Федерации соглашением о завершении строительства объекта незавершенного строительства и исполнении обязательств застройщика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11"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участии в долевом строительстве многоквартирных домов и иных</w:t>
      </w:r>
      <w:proofErr w:type="gramEnd"/>
      <w:r>
        <w:rPr>
          <w:rFonts w:ascii="Arial CYR" w:hAnsi="Arial CYR" w:cs="Arial CYR"/>
          <w:sz w:val="16"/>
          <w:szCs w:val="16"/>
        </w:rPr>
        <w:t xml:space="preserve"> объектов недвижимости и о </w:t>
      </w:r>
      <w:r>
        <w:rPr>
          <w:rFonts w:ascii="Arial CYR" w:hAnsi="Arial CYR" w:cs="Arial CYR"/>
          <w:sz w:val="16"/>
          <w:szCs w:val="16"/>
        </w:rPr>
        <w:lastRenderedPageBreak/>
        <w:t xml:space="preserve">внесении изменений в некоторые законодательные акты Российской Федерации", либо на основании того, что права застройщика на такой проект были приобретены в порядке, предусмотренном </w:t>
      </w:r>
      <w:hyperlink r:id="rId12" w:history="1">
        <w:r>
          <w:rPr>
            <w:rFonts w:ascii="Arial CYR" w:hAnsi="Arial CYR" w:cs="Arial CYR"/>
            <w:color w:val="0000FF"/>
            <w:sz w:val="16"/>
            <w:szCs w:val="16"/>
            <w:u w:val="single"/>
          </w:rPr>
          <w:t>статьями 201.15-1</w:t>
        </w:r>
      </w:hyperlink>
      <w:r>
        <w:rPr>
          <w:rFonts w:ascii="Arial CYR" w:hAnsi="Arial CYR" w:cs="Arial CYR"/>
          <w:sz w:val="16"/>
          <w:szCs w:val="16"/>
        </w:rPr>
        <w:t xml:space="preserve"> и </w:t>
      </w:r>
      <w:hyperlink r:id="rId13" w:history="1">
        <w:r>
          <w:rPr>
            <w:rFonts w:ascii="Arial CYR" w:hAnsi="Arial CYR" w:cs="Arial CYR"/>
            <w:color w:val="0000FF"/>
            <w:sz w:val="16"/>
            <w:szCs w:val="16"/>
            <w:u w:val="single"/>
          </w:rPr>
          <w:t>201.15-2</w:t>
        </w:r>
      </w:hyperlink>
      <w:r>
        <w:rPr>
          <w:rFonts w:ascii="Arial CYR" w:hAnsi="Arial CYR" w:cs="Arial CYR"/>
          <w:sz w:val="16"/>
          <w:szCs w:val="16"/>
        </w:rPr>
        <w:t xml:space="preserve"> Федерального закона "О несостоятельности (банкротстве)";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на земельном участке, права на который приобретены застройщиком по основаниям, установленным </w:t>
      </w:r>
      <w:hyperlink r:id="rId14" w:history="1">
        <w:r>
          <w:rPr>
            <w:rFonts w:ascii="Arial CYR" w:hAnsi="Arial CYR" w:cs="Arial CYR"/>
            <w:color w:val="0000FF"/>
            <w:sz w:val="16"/>
            <w:szCs w:val="16"/>
            <w:u w:val="single"/>
          </w:rPr>
          <w:t>подпунктами 3</w:t>
        </w:r>
      </w:hyperlink>
      <w:r>
        <w:rPr>
          <w:rFonts w:ascii="Arial CYR" w:hAnsi="Arial CYR" w:cs="Arial CYR"/>
          <w:sz w:val="16"/>
          <w:szCs w:val="16"/>
        </w:rPr>
        <w:t xml:space="preserve"> и </w:t>
      </w:r>
      <w:hyperlink r:id="rId15" w:history="1">
        <w:r>
          <w:rPr>
            <w:rFonts w:ascii="Arial CYR" w:hAnsi="Arial CYR" w:cs="Arial CYR"/>
            <w:color w:val="0000FF"/>
            <w:sz w:val="16"/>
            <w:szCs w:val="16"/>
            <w:u w:val="single"/>
          </w:rPr>
          <w:t>3.1 пункта 2 статьи 39.6</w:t>
        </w:r>
      </w:hyperlink>
      <w:r>
        <w:rPr>
          <w:rFonts w:ascii="Arial CYR" w:hAnsi="Arial CYR" w:cs="Arial CYR"/>
          <w:sz w:val="16"/>
          <w:szCs w:val="16"/>
        </w:rPr>
        <w:t xml:space="preserve"> Земельного кодекса Российской Федерации.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Значения критериев, установленных настоящим документом, а также случаи их применения могут быть уточнены на основании соглашения, заключаемого между Правительством Российской Федерации или уполномоченными им федеральными органами исполнительной власти и высшим исполнительным органом государственной власти субъекта Российской Федерации. </w:t>
      </w:r>
      <w:proofErr w:type="gramStart"/>
      <w:r>
        <w:rPr>
          <w:rFonts w:ascii="Arial CYR" w:hAnsi="Arial CYR" w:cs="Arial CYR"/>
          <w:sz w:val="16"/>
          <w:szCs w:val="16"/>
        </w:rPr>
        <w:t xml:space="preserve">Указанное соглашение может быть заключено при наличии закона и (или) иного нормативного правового акта, устанавливающего обязательство субъекта Российской Федерации по финансовому обеспечению мероприятий по завершению строительства проектов, которые не соответствуют указанным критериям и по которым на основании такого соглашения застройщикам предоставляется право на привлечение денежных средств участников долевого строительства без использования счетов, предусмотренных </w:t>
      </w:r>
      <w:hyperlink r:id="rId16" w:history="1">
        <w:r>
          <w:rPr>
            <w:rFonts w:ascii="Arial CYR" w:hAnsi="Arial CYR" w:cs="Arial CYR"/>
            <w:color w:val="0000FF"/>
            <w:sz w:val="16"/>
            <w:szCs w:val="16"/>
            <w:u w:val="single"/>
          </w:rPr>
          <w:t>статьей 15.4</w:t>
        </w:r>
      </w:hyperlink>
      <w:r>
        <w:rPr>
          <w:rFonts w:ascii="Arial CYR" w:hAnsi="Arial CYR" w:cs="Arial CYR"/>
          <w:sz w:val="16"/>
          <w:szCs w:val="16"/>
        </w:rPr>
        <w:t xml:space="preserve"> Федерального закона "Об участии в</w:t>
      </w:r>
      <w:proofErr w:type="gramEnd"/>
      <w:r>
        <w:rPr>
          <w:rFonts w:ascii="Arial CYR" w:hAnsi="Arial CYR" w:cs="Arial CYR"/>
          <w:sz w:val="16"/>
          <w:szCs w:val="16"/>
        </w:rPr>
        <w:t xml:space="preserve"> </w:t>
      </w:r>
      <w:proofErr w:type="gramStart"/>
      <w:r>
        <w:rPr>
          <w:rFonts w:ascii="Arial CYR" w:hAnsi="Arial CYR" w:cs="Arial CYR"/>
          <w:sz w:val="16"/>
          <w:szCs w:val="16"/>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roofErr w:type="gramEnd"/>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Утверждена</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22 апреля 2019 г. N 480</w:t>
      </w: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МЕТОДИКА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ОПРЕДЕЛЕНИЯ СООТВЕТСТВИЯ МНОГОКВАРТИРНОГО ДОМА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(ИЛИ) ИНОГО ОБЪЕКТА НЕДВИЖИМОСТИ ЛИБО НЕСКОЛЬКИХ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МНОГОКВАРТИРНЫХ ДОМОВ И (ИЛИ) ИНЫХ ОБЪЕКТОВ НЕДВИЖИМОСТИ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ПРЕДЕЛАХ ОДНОГО РАЗРЕШЕНИЯ НА СТРОИТЕЛЬСТВО КРИТЕРИЯМ,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ОПРЕДЕЛЯЮЩИМ</w:t>
      </w:r>
      <w:proofErr w:type="gramEnd"/>
      <w:r>
        <w:rPr>
          <w:rFonts w:ascii="Arial CYR" w:hAnsi="Arial CYR" w:cs="Arial CYR"/>
          <w:b/>
          <w:bCs/>
          <w:sz w:val="16"/>
          <w:szCs w:val="16"/>
        </w:rPr>
        <w:t xml:space="preserve"> СТЕПЕНЬ ГОТОВНОСТИ МНОГОКВАРТИРНОГО ДОМА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(ИЛИ) ИНОГО ОБЪЕКТА НЕДВИЖИМОСТИ И КОЛИЧЕСТВО ЗАКЛЮЧЕННЫХ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ДОГОВОРОВ УЧАСТИЯ В ДОЛЕВОМ СТРОИТЕЛЬСТВЕ, ПРИ УСЛОВИИ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СООТВЕТСТВИЯ</w:t>
      </w:r>
      <w:proofErr w:type="gramEnd"/>
      <w:r>
        <w:rPr>
          <w:rFonts w:ascii="Arial CYR" w:hAnsi="Arial CYR" w:cs="Arial CYR"/>
          <w:b/>
          <w:bCs/>
          <w:sz w:val="16"/>
          <w:szCs w:val="16"/>
        </w:rPr>
        <w:t xml:space="preserve"> КОТОРЫМ ЗАСТРОЙЩИКУ ПРЕДОСТАВЛЯЕТСЯ ПРАВО</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НА ПРИВЛЕЧЕНИЕ ДЕНЕЖНЫХ СРЕДСТВ УЧАСТНИКОВ </w:t>
      </w:r>
      <w:proofErr w:type="gramStart"/>
      <w:r>
        <w:rPr>
          <w:rFonts w:ascii="Arial CYR" w:hAnsi="Arial CYR" w:cs="Arial CYR"/>
          <w:b/>
          <w:bCs/>
          <w:sz w:val="16"/>
          <w:szCs w:val="16"/>
        </w:rPr>
        <w:t>ДОЛЕВОГО</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СТРОИТЕЛЬСТВА БЕЗ ИСПОЛЬЗОВАНИЯ СЧЕТОВ, ПРЕДУСМОТРЕННЫХ</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СТАТЬЕЙ 15.4 ФЕДЕРАЛЬНОГО ЗАКОНА "ОБ УЧАСТИИ </w:t>
      </w:r>
      <w:proofErr w:type="gramStart"/>
      <w:r>
        <w:rPr>
          <w:rFonts w:ascii="Arial CYR" w:hAnsi="Arial CYR" w:cs="Arial CYR"/>
          <w:b/>
          <w:bCs/>
          <w:sz w:val="16"/>
          <w:szCs w:val="16"/>
        </w:rPr>
        <w:t>В</w:t>
      </w:r>
      <w:proofErr w:type="gramEnd"/>
      <w:r>
        <w:rPr>
          <w:rFonts w:ascii="Arial CYR" w:hAnsi="Arial CYR" w:cs="Arial CYR"/>
          <w:b/>
          <w:bCs/>
          <w:sz w:val="16"/>
          <w:szCs w:val="16"/>
        </w:rPr>
        <w:t xml:space="preserve"> ДОЛЕВОМ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СТРОИТЕЛЬСТВЕ</w:t>
      </w:r>
      <w:proofErr w:type="gramEnd"/>
      <w:r>
        <w:rPr>
          <w:rFonts w:ascii="Arial CYR" w:hAnsi="Arial CYR" w:cs="Arial CYR"/>
          <w:b/>
          <w:bCs/>
          <w:sz w:val="16"/>
          <w:szCs w:val="16"/>
        </w:rPr>
        <w:t xml:space="preserve"> МНОГОКВАРТИРНЫХ ДОМОВ И ИНЫХ ОБЪЕКТОВ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НЕДВИЖИМОСТИ И О ВНЕСЕНИИ ИЗМЕНЕНИЙ В НЕКОТОРЫЕ</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ЗАКОНОДАТЕЛЬНЫЕ АКТЫ РОССИЙСКОЙ ФЕДЕРАЦИИ", ПО ДОГОВОРАМ</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УЧАСТИЯ В ДОЛЕВОМ СТРОИТЕЛЬСТВЕ, ПРЕДСТАВЛЕННЫМ</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ГОСУДАРСТВЕННУЮ РЕГИСТРАЦИЮ ПОСЛЕ 1 ИЮЛЯ 2019 Г.</w:t>
      </w:r>
    </w:p>
    <w:p w:rsidR="00116459" w:rsidRDefault="00116459" w:rsidP="00116459">
      <w:pPr>
        <w:autoSpaceDE w:val="0"/>
        <w:autoSpaceDN w:val="0"/>
        <w:adjustRightInd w:val="0"/>
        <w:spacing w:after="0" w:line="240" w:lineRule="auto"/>
        <w:jc w:val="center"/>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Методика определения соответствия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критериям, определяющим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w:t>
      </w:r>
      <w:proofErr w:type="gramEnd"/>
      <w:r>
        <w:rPr>
          <w:rFonts w:ascii="Arial CYR" w:hAnsi="Arial CYR" w:cs="Arial CYR"/>
          <w:sz w:val="16"/>
          <w:szCs w:val="16"/>
        </w:rPr>
        <w:t xml:space="preserve"> без использования счетов, предусмотренных </w:t>
      </w:r>
      <w:hyperlink r:id="rId17" w:history="1">
        <w:r>
          <w:rPr>
            <w:rFonts w:ascii="Arial CYR" w:hAnsi="Arial CYR" w:cs="Arial CYR"/>
            <w:color w:val="0000FF"/>
            <w:sz w:val="16"/>
            <w:szCs w:val="16"/>
            <w:u w:val="single"/>
          </w:rPr>
          <w:t>статьей 15.4</w:t>
        </w:r>
      </w:hyperlink>
      <w:r>
        <w:rPr>
          <w:rFonts w:ascii="Arial CYR" w:hAnsi="Arial CYR" w:cs="Arial CYR"/>
          <w:sz w:val="16"/>
          <w:szCs w:val="1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устанавливает порядок расчета степени готовности проекта и определения количества заключенных договоров участия в долевом строительстве.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Степень готовности проекта (</w:t>
      </w:r>
      <w:proofErr w:type="spellStart"/>
      <w:r>
        <w:rPr>
          <w:rFonts w:ascii="Arial CYR" w:hAnsi="Arial CYR" w:cs="Arial CYR"/>
          <w:sz w:val="16"/>
          <w:szCs w:val="16"/>
        </w:rPr>
        <w:t>С</w:t>
      </w:r>
      <w:r>
        <w:rPr>
          <w:rFonts w:ascii="Arial CYR" w:hAnsi="Arial CYR" w:cs="Arial CYR"/>
          <w:sz w:val="16"/>
          <w:szCs w:val="16"/>
          <w:vertAlign w:val="subscript"/>
        </w:rPr>
        <w:t>гп</w:t>
      </w:r>
      <w:proofErr w:type="spellEnd"/>
      <w:r>
        <w:rPr>
          <w:rFonts w:ascii="Arial CYR" w:hAnsi="Arial CYR" w:cs="Arial CYR"/>
          <w:sz w:val="16"/>
          <w:szCs w:val="16"/>
        </w:rPr>
        <w:t>) рассчитывается по формуле (процентов):</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sz w:val="16"/>
          <w:szCs w:val="16"/>
        </w:rPr>
      </w:pPr>
      <w:r>
        <w:rPr>
          <w:rFonts w:ascii="Arial CYR" w:hAnsi="Arial CYR" w:cs="Arial CYR"/>
          <w:noProof/>
          <w:position w:val="-18"/>
          <w:sz w:val="16"/>
          <w:szCs w:val="16"/>
          <w:lang w:eastAsia="ru-RU"/>
        </w:rPr>
        <w:drawing>
          <wp:inline distT="0" distB="0" distL="0" distR="0">
            <wp:extent cx="838200" cy="3365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336550"/>
                    </a:xfrm>
                    <a:prstGeom prst="rect">
                      <a:avLst/>
                    </a:prstGeom>
                    <a:noFill/>
                    <a:ln>
                      <a:noFill/>
                    </a:ln>
                  </pic:spPr>
                </pic:pic>
              </a:graphicData>
            </a:graphic>
          </wp:inline>
        </w:drawing>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spellStart"/>
      <w:r>
        <w:rPr>
          <w:rFonts w:ascii="Arial CYR" w:hAnsi="Arial CYR" w:cs="Arial CYR"/>
          <w:sz w:val="16"/>
          <w:szCs w:val="16"/>
        </w:rPr>
        <w:t>С</w:t>
      </w:r>
      <w:r>
        <w:rPr>
          <w:rFonts w:ascii="Arial CYR" w:hAnsi="Arial CYR" w:cs="Arial CYR"/>
          <w:sz w:val="16"/>
          <w:szCs w:val="16"/>
          <w:vertAlign w:val="subscript"/>
        </w:rPr>
        <w:t>фз</w:t>
      </w:r>
      <w:proofErr w:type="spellEnd"/>
      <w:r>
        <w:rPr>
          <w:rFonts w:ascii="Arial CYR" w:hAnsi="Arial CYR" w:cs="Arial CYR"/>
          <w:sz w:val="16"/>
          <w:szCs w:val="16"/>
        </w:rPr>
        <w:t xml:space="preserve"> - степень готовности, рассчитанная исходя из размера фактически понесенных затрат на строительство;</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spellStart"/>
      <w:r>
        <w:rPr>
          <w:rFonts w:ascii="Arial CYR" w:hAnsi="Arial CYR" w:cs="Arial CYR"/>
          <w:sz w:val="16"/>
          <w:szCs w:val="16"/>
        </w:rPr>
        <w:t>С</w:t>
      </w:r>
      <w:r>
        <w:rPr>
          <w:rFonts w:ascii="Arial CYR" w:hAnsi="Arial CYR" w:cs="Arial CYR"/>
          <w:sz w:val="16"/>
          <w:szCs w:val="16"/>
          <w:vertAlign w:val="subscript"/>
        </w:rPr>
        <w:t>кэ</w:t>
      </w:r>
      <w:proofErr w:type="spellEnd"/>
      <w:r>
        <w:rPr>
          <w:rFonts w:ascii="Arial CYR" w:hAnsi="Arial CYR" w:cs="Arial CYR"/>
          <w:sz w:val="16"/>
          <w:szCs w:val="16"/>
        </w:rPr>
        <w:t xml:space="preserve"> - степень готовности проекта, рассчитанная суммарно в соответствии с готовностью конструктивных элементов всех объектов недвижимости, указанных в разрешении на строительство (далее - степень готовности конструктивных элементов проекта).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Степень готовности, рассчитанная исходя из размера фактически понесенных затрат на строительство (</w:t>
      </w:r>
      <w:proofErr w:type="spellStart"/>
      <w:r>
        <w:rPr>
          <w:rFonts w:ascii="Arial CYR" w:hAnsi="Arial CYR" w:cs="Arial CYR"/>
          <w:sz w:val="16"/>
          <w:szCs w:val="16"/>
        </w:rPr>
        <w:t>С</w:t>
      </w:r>
      <w:r>
        <w:rPr>
          <w:rFonts w:ascii="Arial CYR" w:hAnsi="Arial CYR" w:cs="Arial CYR"/>
          <w:sz w:val="16"/>
          <w:szCs w:val="16"/>
          <w:vertAlign w:val="subscript"/>
        </w:rPr>
        <w:t>фз</w:t>
      </w:r>
      <w:proofErr w:type="spellEnd"/>
      <w:r>
        <w:rPr>
          <w:rFonts w:ascii="Arial CYR" w:hAnsi="Arial CYR" w:cs="Arial CYR"/>
          <w:sz w:val="16"/>
          <w:szCs w:val="16"/>
        </w:rPr>
        <w:t>), рассчитывается по формуле (процентов):</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sz w:val="16"/>
          <w:szCs w:val="16"/>
        </w:rPr>
      </w:pPr>
      <w:r>
        <w:rPr>
          <w:rFonts w:ascii="Arial CYR" w:hAnsi="Arial CYR" w:cs="Arial CYR"/>
          <w:noProof/>
          <w:position w:val="-18"/>
          <w:sz w:val="16"/>
          <w:szCs w:val="16"/>
          <w:lang w:eastAsia="ru-RU"/>
        </w:rPr>
        <w:lastRenderedPageBreak/>
        <w:drawing>
          <wp:inline distT="0" distB="0" distL="0" distR="0">
            <wp:extent cx="2609850" cy="336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0" cy="336550"/>
                    </a:xfrm>
                    <a:prstGeom prst="rect">
                      <a:avLst/>
                    </a:prstGeom>
                    <a:noFill/>
                    <a:ln>
                      <a:noFill/>
                    </a:ln>
                  </pic:spPr>
                </pic:pic>
              </a:graphicData>
            </a:graphic>
          </wp:inline>
        </w:drawing>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размер фактически понесенных затрат - фактически понесенные застройщиком расходы, связанные со строительством объектов недвижимости, входящих в состав проекта (далее - объекты недвижимости) (рублей), которые включают в себя расходы, понесенные застройщиком в связи со строительством объектов недвижимости в соответствии со </w:t>
      </w:r>
      <w:hyperlink r:id="rId20" w:history="1">
        <w:r>
          <w:rPr>
            <w:rFonts w:ascii="Arial CYR" w:hAnsi="Arial CYR" w:cs="Arial CYR"/>
            <w:color w:val="0000FF"/>
            <w:sz w:val="16"/>
            <w:szCs w:val="16"/>
            <w:u w:val="single"/>
          </w:rPr>
          <w:t>статьей 18</w:t>
        </w:r>
      </w:hyperlink>
      <w:r>
        <w:rPr>
          <w:rFonts w:ascii="Arial CYR" w:hAnsi="Arial CYR" w:cs="Arial CYR"/>
          <w:sz w:val="16"/>
          <w:szCs w:val="1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Pr>
          <w:rFonts w:ascii="Arial CYR" w:hAnsi="Arial CYR" w:cs="Arial CYR"/>
          <w:sz w:val="16"/>
          <w:szCs w:val="16"/>
        </w:rPr>
        <w:t xml:space="preserve"> </w:t>
      </w:r>
      <w:proofErr w:type="gramStart"/>
      <w:r>
        <w:rPr>
          <w:rFonts w:ascii="Arial CYR" w:hAnsi="Arial CYR" w:cs="Arial CYR"/>
          <w:sz w:val="16"/>
          <w:szCs w:val="16"/>
        </w:rPr>
        <w:t xml:space="preserve">Российской Федерации" (с учетом особенностей, указанных в </w:t>
      </w:r>
      <w:hyperlink r:id="rId21" w:history="1">
        <w:r>
          <w:rPr>
            <w:rFonts w:ascii="Arial CYR" w:hAnsi="Arial CYR" w:cs="Arial CYR"/>
            <w:color w:val="0000FF"/>
            <w:sz w:val="16"/>
            <w:szCs w:val="16"/>
            <w:u w:val="single"/>
          </w:rPr>
          <w:t>статье 8</w:t>
        </w:r>
      </w:hyperlink>
      <w:r>
        <w:rPr>
          <w:rFonts w:ascii="Arial CYR" w:hAnsi="Arial CYR" w:cs="Arial CYR"/>
          <w:sz w:val="16"/>
          <w:szCs w:val="16"/>
        </w:rPr>
        <w:t xml:space="preserve">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для застройщиков, получивших разрешение на строительство до 1 июля 2018 г.).</w:t>
      </w:r>
      <w:proofErr w:type="gramEnd"/>
      <w:r>
        <w:rPr>
          <w:rFonts w:ascii="Arial CYR" w:hAnsi="Arial CYR" w:cs="Arial CYR"/>
          <w:sz w:val="16"/>
          <w:szCs w:val="16"/>
        </w:rPr>
        <w:t xml:space="preserve"> Понесенные расходы подтверждаются данными регистров бухгалтерского учета застройщика, а также документами, указанными в </w:t>
      </w:r>
      <w:hyperlink r:id="rId22" w:history="1">
        <w:r>
          <w:rPr>
            <w:rFonts w:ascii="Arial CYR" w:hAnsi="Arial CYR" w:cs="Arial CYR"/>
            <w:color w:val="0000FF"/>
            <w:sz w:val="16"/>
            <w:szCs w:val="16"/>
            <w:u w:val="single"/>
          </w:rPr>
          <w:t>пункте 1 статьи 18.2</w:t>
        </w:r>
      </w:hyperlink>
      <w:r>
        <w:rPr>
          <w:rFonts w:ascii="Arial CYR" w:hAnsi="Arial CYR" w:cs="Arial CYR"/>
          <w:sz w:val="16"/>
          <w:szCs w:val="1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планируемая стоимость строительства - планируемая стоимость строительства (создания) многоквартирных домов и (или) иных объектов недвижимости, указанная в проектной декларации проекта (рублей).</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Степень готовности конструктивных элементов проекта (</w:t>
      </w:r>
      <w:proofErr w:type="spellStart"/>
      <w:r>
        <w:rPr>
          <w:rFonts w:ascii="Arial CYR" w:hAnsi="Arial CYR" w:cs="Arial CYR"/>
          <w:sz w:val="16"/>
          <w:szCs w:val="16"/>
        </w:rPr>
        <w:t>С</w:t>
      </w:r>
      <w:r>
        <w:rPr>
          <w:rFonts w:ascii="Arial CYR" w:hAnsi="Arial CYR" w:cs="Arial CYR"/>
          <w:sz w:val="16"/>
          <w:szCs w:val="16"/>
          <w:vertAlign w:val="subscript"/>
        </w:rPr>
        <w:t>кэ</w:t>
      </w:r>
      <w:proofErr w:type="spellEnd"/>
      <w:r>
        <w:rPr>
          <w:rFonts w:ascii="Arial CYR" w:hAnsi="Arial CYR" w:cs="Arial CYR"/>
          <w:sz w:val="16"/>
          <w:szCs w:val="16"/>
        </w:rPr>
        <w:t>) рассчитывается по формуле (процентов):</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sz w:val="16"/>
          <w:szCs w:val="16"/>
        </w:rPr>
      </w:pPr>
      <w:r>
        <w:rPr>
          <w:rFonts w:ascii="Arial CYR" w:hAnsi="Arial CYR" w:cs="Arial CYR"/>
          <w:noProof/>
          <w:position w:val="-21"/>
          <w:sz w:val="16"/>
          <w:szCs w:val="16"/>
          <w:lang w:eastAsia="ru-RU"/>
        </w:rPr>
        <w:drawing>
          <wp:inline distT="0" distB="0" distL="0" distR="0">
            <wp:extent cx="1016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0" cy="381000"/>
                    </a:xfrm>
                    <a:prstGeom prst="rect">
                      <a:avLst/>
                    </a:prstGeom>
                    <a:noFill/>
                    <a:ln>
                      <a:noFill/>
                    </a:ln>
                  </pic:spPr>
                </pic:pic>
              </a:graphicData>
            </a:graphic>
          </wp:inline>
        </w:drawing>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где: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i - номер конструктивного элемента по порядку;</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n - общее количество конструктивных элементов в объектах недвижимости;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spellStart"/>
      <w:r>
        <w:rPr>
          <w:rFonts w:ascii="Arial CYR" w:hAnsi="Arial CYR" w:cs="Arial CYR"/>
          <w:sz w:val="16"/>
          <w:szCs w:val="16"/>
        </w:rPr>
        <w:t>вес</w:t>
      </w:r>
      <w:proofErr w:type="gramStart"/>
      <w:r>
        <w:rPr>
          <w:rFonts w:ascii="Arial CYR" w:hAnsi="Arial CYR" w:cs="Arial CYR"/>
          <w:sz w:val="16"/>
          <w:szCs w:val="16"/>
          <w:vertAlign w:val="subscript"/>
        </w:rPr>
        <w:t>i</w:t>
      </w:r>
      <w:proofErr w:type="spellEnd"/>
      <w:proofErr w:type="gramEnd"/>
      <w:r>
        <w:rPr>
          <w:rFonts w:ascii="Arial CYR" w:hAnsi="Arial CYR" w:cs="Arial CYR"/>
          <w:sz w:val="16"/>
          <w:szCs w:val="16"/>
        </w:rPr>
        <w:t xml:space="preserve"> - значение удельного веса i-</w:t>
      </w:r>
      <w:proofErr w:type="spellStart"/>
      <w:r>
        <w:rPr>
          <w:rFonts w:ascii="Arial CYR" w:hAnsi="Arial CYR" w:cs="Arial CYR"/>
          <w:sz w:val="16"/>
          <w:szCs w:val="16"/>
        </w:rPr>
        <w:t>го</w:t>
      </w:r>
      <w:proofErr w:type="spellEnd"/>
      <w:r>
        <w:rPr>
          <w:rFonts w:ascii="Arial CYR" w:hAnsi="Arial CYR" w:cs="Arial CYR"/>
          <w:sz w:val="16"/>
          <w:szCs w:val="16"/>
        </w:rPr>
        <w:t xml:space="preserve"> конструктивного элемента в объектах недвижимости (процентов);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spellStart"/>
      <w:r>
        <w:rPr>
          <w:rFonts w:ascii="Arial CYR" w:hAnsi="Arial CYR" w:cs="Arial CYR"/>
          <w:sz w:val="16"/>
          <w:szCs w:val="16"/>
        </w:rPr>
        <w:t>С</w:t>
      </w:r>
      <w:proofErr w:type="gramStart"/>
      <w:r>
        <w:rPr>
          <w:rFonts w:ascii="Arial CYR" w:hAnsi="Arial CYR" w:cs="Arial CYR"/>
          <w:sz w:val="16"/>
          <w:szCs w:val="16"/>
          <w:vertAlign w:val="subscript"/>
        </w:rPr>
        <w:t>i</w:t>
      </w:r>
      <w:proofErr w:type="spellEnd"/>
      <w:proofErr w:type="gramEnd"/>
      <w:r>
        <w:rPr>
          <w:rFonts w:ascii="Arial CYR" w:hAnsi="Arial CYR" w:cs="Arial CYR"/>
          <w:sz w:val="16"/>
          <w:szCs w:val="16"/>
        </w:rPr>
        <w:t xml:space="preserve"> - доля построенной части i-</w:t>
      </w:r>
      <w:proofErr w:type="spellStart"/>
      <w:r>
        <w:rPr>
          <w:rFonts w:ascii="Arial CYR" w:hAnsi="Arial CYR" w:cs="Arial CYR"/>
          <w:sz w:val="16"/>
          <w:szCs w:val="16"/>
        </w:rPr>
        <w:t>го</w:t>
      </w:r>
      <w:proofErr w:type="spellEnd"/>
      <w:r>
        <w:rPr>
          <w:rFonts w:ascii="Arial CYR" w:hAnsi="Arial CYR" w:cs="Arial CYR"/>
          <w:sz w:val="16"/>
          <w:szCs w:val="16"/>
        </w:rPr>
        <w:t xml:space="preserve"> конструктивного элемента (процентов).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Для расчета степени готовности конструктивных элементов проекта используется следующий перечень конструктивных элементов: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устройство котлована (шпунтовое ограждение, земляные работы);</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конструкции нулевого цикла (а также подземные этажи при их наличии);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конструкции надземной части здания;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сети инженерно-технического обеспечения (в том числе внутренние и наружные сети);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ограждающие конструкции здания;</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внутренние инженерные системы и оборудование;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внутренние отделочные работы;</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spellStart"/>
      <w:r>
        <w:rPr>
          <w:rFonts w:ascii="Arial CYR" w:hAnsi="Arial CYR" w:cs="Arial CYR"/>
          <w:sz w:val="16"/>
          <w:szCs w:val="16"/>
        </w:rPr>
        <w:t>внутриплощадные</w:t>
      </w:r>
      <w:proofErr w:type="spellEnd"/>
      <w:r>
        <w:rPr>
          <w:rFonts w:ascii="Arial CYR" w:hAnsi="Arial CYR" w:cs="Arial CYR"/>
          <w:sz w:val="16"/>
          <w:szCs w:val="16"/>
        </w:rPr>
        <w:t xml:space="preserve"> сети;</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внутренние перегородки и стены;</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прочие работы.</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proofErr w:type="gramStart"/>
      <w:r>
        <w:rPr>
          <w:rFonts w:ascii="Arial CYR" w:hAnsi="Arial CYR" w:cs="Arial CYR"/>
          <w:sz w:val="16"/>
          <w:szCs w:val="16"/>
        </w:rPr>
        <w:t>Если разрешение на строительство выдано на осуществление этапов строительства, степень готовности проекта может быть рассчитана по выбору застройщика суммарно по этапам с учетом введенных в эксплуатацию объектов недвижимости, если в отношении объектов недвижимости, предусмотренных на каждом из этапов, принимаемых к расчету, действует хотя бы один договор участия в долевом строительстве, либо по проекту в целом.</w:t>
      </w:r>
      <w:proofErr w:type="gramEnd"/>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В случае если расчет степени готовности проекта осуществлен по проекту в целом, застройщику предоставляется право привлечения средств участников долевого строительства без использования счетов, предусмотренных </w:t>
      </w:r>
      <w:hyperlink r:id="rId24" w:history="1">
        <w:r>
          <w:rPr>
            <w:rFonts w:ascii="Arial CYR" w:hAnsi="Arial CYR" w:cs="Arial CYR"/>
            <w:color w:val="0000FF"/>
            <w:sz w:val="16"/>
            <w:szCs w:val="16"/>
            <w:u w:val="single"/>
          </w:rPr>
          <w:t>статьей 15.4</w:t>
        </w:r>
      </w:hyperlink>
      <w:r>
        <w:rPr>
          <w:rFonts w:ascii="Arial CYR" w:hAnsi="Arial CYR" w:cs="Arial CYR"/>
          <w:sz w:val="16"/>
          <w:szCs w:val="1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w:t>
      </w:r>
      <w:proofErr w:type="gramEnd"/>
      <w:r>
        <w:rPr>
          <w:rFonts w:ascii="Arial CYR" w:hAnsi="Arial CYR" w:cs="Arial CYR"/>
          <w:sz w:val="16"/>
          <w:szCs w:val="16"/>
        </w:rPr>
        <w:t xml:space="preserve"> 1 июля 2019 г., в отношении проекта в целом.</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Расчет степени готовности конструктивных элементов проекта осуществляется кадастровым инженером в установленном законодательством Российской Федерации порядке, если иное не предусмотрено </w:t>
      </w:r>
      <w:hyperlink r:id="rId25" w:history="1">
        <w:r>
          <w:rPr>
            <w:rFonts w:ascii="Arial CYR" w:hAnsi="Arial CYR" w:cs="Arial CYR"/>
            <w:color w:val="0000FF"/>
            <w:sz w:val="16"/>
            <w:szCs w:val="16"/>
            <w:u w:val="single"/>
          </w:rPr>
          <w:t>абзацем вторым</w:t>
        </w:r>
      </w:hyperlink>
      <w:r>
        <w:rPr>
          <w:rFonts w:ascii="Arial CYR" w:hAnsi="Arial CYR" w:cs="Arial CYR"/>
          <w:sz w:val="16"/>
          <w:szCs w:val="16"/>
        </w:rPr>
        <w:t xml:space="preserve"> настоящего пункта.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Нормативным правовым актом субъекта Российской Федерации может быть предусмотрено, что подтверждение осуществленного застройщиком расчета степени готовности конструктивных элементов проекта осуществляется органом исполнительной власти субъекта Российской Федерации, уполномоченным на осуществление регионального государственного строительного надзора. </w:t>
      </w:r>
      <w:proofErr w:type="gramStart"/>
      <w:r>
        <w:rPr>
          <w:rFonts w:ascii="Arial CYR" w:hAnsi="Arial CYR" w:cs="Arial CYR"/>
          <w:sz w:val="16"/>
          <w:szCs w:val="16"/>
        </w:rPr>
        <w:t>При этом в случае принятия указанного нормативного правового акта субъекта Российской Федерации по истечении более чем 30 дней со дня вступления в силу постановления Правительства Российской Федерации от 22 апреля 2019 г. N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w:t>
      </w:r>
      <w:proofErr w:type="gramEnd"/>
      <w:r>
        <w:rPr>
          <w:rFonts w:ascii="Arial CYR" w:hAnsi="Arial CYR" w:cs="Arial CYR"/>
          <w:sz w:val="16"/>
          <w:szCs w:val="16"/>
        </w:rPr>
        <w:t xml:space="preserve"> </w:t>
      </w:r>
      <w:proofErr w:type="gramStart"/>
      <w:r>
        <w:rPr>
          <w:rFonts w:ascii="Arial CYR" w:hAnsi="Arial CYR" w:cs="Arial CYR"/>
          <w:sz w:val="16"/>
          <w:szCs w:val="16"/>
        </w:rPr>
        <w:t>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 расчет указанной степени по выбору застройщика осуществляется кадастровым</w:t>
      </w:r>
      <w:proofErr w:type="gramEnd"/>
      <w:r>
        <w:rPr>
          <w:rFonts w:ascii="Arial CYR" w:hAnsi="Arial CYR" w:cs="Arial CYR"/>
          <w:sz w:val="16"/>
          <w:szCs w:val="16"/>
        </w:rPr>
        <w:t xml:space="preserve"> инженером или застройщиком самостоятельно и подтверждается органом исполнительной власти субъекта Российской Федерации, уполномоченным на осуществление регионального государственного строительного надзора.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Расчет степени готовности, рассчитанной исходя из размера фактически понесенных затрат на строительство, осуществляется застройщиком на основании данных бухгалтерского учета.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proofErr w:type="gramStart"/>
      <w:r>
        <w:rPr>
          <w:rFonts w:ascii="Arial CYR" w:hAnsi="Arial CYR" w:cs="Arial CYR"/>
          <w:sz w:val="16"/>
          <w:szCs w:val="16"/>
        </w:rPr>
        <w:t>Оценка количества заключенных договоров участия в долевом строительстве выполняется осуществляющим государственный контроль (надзор) в области долевого строительства многоквартирных домов и (или) иных объектов недвижимости уполномоченным органом исполнительной власти субъекта Российской Федерации, на территории которого осуществляется строительство проекта (далее - контролирующий орган), на основании данных федерального органа исполнительной власти (его территориальных органов), осуществляющего функции по государственной регистрации прав на недвижимое имущество и</w:t>
      </w:r>
      <w:proofErr w:type="gramEnd"/>
      <w:r>
        <w:rPr>
          <w:rFonts w:ascii="Arial CYR" w:hAnsi="Arial CYR" w:cs="Arial CYR"/>
          <w:sz w:val="16"/>
          <w:szCs w:val="16"/>
        </w:rPr>
        <w:t xml:space="preserve"> сделок с ним и по оказанию государственных услуг в сфере осуществления государственного кадастрового учета недвижимого имущества, путем сопоставления с данными проектной декларации проекта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Подписанное застройщиком заявление с указанием расчета степени готовности проекта и документы, подтверждающие соответствие проекта критериям, указанным в </w:t>
      </w:r>
      <w:hyperlink r:id="rId26"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настоящего документа, подаются в контролирующий орган на бумажных носителях либо в электронной форме через личный кабинет застройщика в единой информационной системе жилищного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Заявление и документы, подаваемые в контролирующий орган, заверяются подписью руководителя, главного бухгалтера и печатью организации (при ее наличии). В случае их направления через личный кабинет застройщика в единой информационной системе жилищного строительства подаваемые заявление и документы заверяются электронной цифровой подписью указанных лиц.</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Подготовка заключения о степени готовности проекта осуществляется контролирующим органом в течение 15 рабочих дней со дня поступления заявления и документов.</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При подготовке заключения контролирующий орган вправе получить от застройщика дополнительные документы, необходимые для оценки степени готовности, рассчитанной исходя из стоимости выполненных работ, в случае если документы, представленные застройщиком на бумажных носителях и (или) размещенные в единой информационной системе жилищного строительства, не позволяют сделать вывод о правильности осуществленных застройщиком расчетов. В случае запроса контролирующим органом указанных дополнительных документов срок подготовки заключения о степени готовности объекта может быть продлен не более чем на 5 рабочих дней.</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По итогам анализа представленных документов контролирующий орган </w:t>
      </w:r>
      <w:proofErr w:type="gramStart"/>
      <w:r>
        <w:rPr>
          <w:rFonts w:ascii="Arial CYR" w:hAnsi="Arial CYR" w:cs="Arial CYR"/>
          <w:sz w:val="16"/>
          <w:szCs w:val="16"/>
        </w:rPr>
        <w:t>формирует соответствующее заключение и направляет</w:t>
      </w:r>
      <w:proofErr w:type="gramEnd"/>
      <w:r>
        <w:rPr>
          <w:rFonts w:ascii="Arial CYR" w:hAnsi="Arial CYR" w:cs="Arial CYR"/>
          <w:sz w:val="16"/>
          <w:szCs w:val="16"/>
        </w:rPr>
        <w:t xml:space="preserve"> его застройщику почтовым отправлением или через личный кабинет застройщика в единой информационной системе жилищного строительства. Указанное заключение подлежит размещению контролирующим органом в единой информационной системе </w:t>
      </w:r>
      <w:proofErr w:type="gramStart"/>
      <w:r>
        <w:rPr>
          <w:rFonts w:ascii="Arial CYR" w:hAnsi="Arial CYR" w:cs="Arial CYR"/>
          <w:sz w:val="16"/>
          <w:szCs w:val="16"/>
        </w:rPr>
        <w:t>жилищного</w:t>
      </w:r>
      <w:proofErr w:type="gramEnd"/>
      <w:r>
        <w:rPr>
          <w:rFonts w:ascii="Arial CYR" w:hAnsi="Arial CYR" w:cs="Arial CYR"/>
          <w:sz w:val="16"/>
          <w:szCs w:val="16"/>
        </w:rPr>
        <w:t xml:space="preserve"> строительства.</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 Правительства</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116459" w:rsidRDefault="00116459" w:rsidP="00116459">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22 апреля 2019 г. N 480</w:t>
      </w:r>
    </w:p>
    <w:p w:rsidR="00116459" w:rsidRDefault="00116459" w:rsidP="00116459">
      <w:pPr>
        <w:autoSpaceDE w:val="0"/>
        <w:autoSpaceDN w:val="0"/>
        <w:adjustRightInd w:val="0"/>
        <w:spacing w:after="0" w:line="240" w:lineRule="auto"/>
        <w:jc w:val="right"/>
        <w:rPr>
          <w:rFonts w:ascii="Arial CYR" w:hAnsi="Arial CYR" w:cs="Arial CYR"/>
          <w:sz w:val="16"/>
          <w:szCs w:val="16"/>
        </w:rPr>
      </w:pP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ПЕРЕЧЕНЬ</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ДОКУМЕНТОВ, ПРЕДСТАВЛЯЕМЫХ ЗАСТРОЙЩИКОМ ДЛЯ ОПРЕДЕЛЕНИЯ</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СООТВЕТСТВИЯ МНОГОКВАРТИРНОГО ДОМА И (ИЛИ) ИНОГО ОБЪЕКТА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НЕДВИЖИМОСТИ КРИТЕРИЯМ, ОПРЕДЕЛЯЮЩИМ СТЕПЕНЬ ГОТОВНОСТИ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МНОГОКВАРТИРНОГО ДОМА И (ИЛИ) ИНОГО ОБЪЕКТА НЕДВИЖИМОСТИ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И КОЛИЧЕСТВО ЗАКЛЮЧЕННЫХ ДОГОВОРОВ УЧАСТИЯ В </w:t>
      </w:r>
      <w:proofErr w:type="gramStart"/>
      <w:r>
        <w:rPr>
          <w:rFonts w:ascii="Arial CYR" w:hAnsi="Arial CYR" w:cs="Arial CYR"/>
          <w:b/>
          <w:bCs/>
          <w:sz w:val="16"/>
          <w:szCs w:val="16"/>
        </w:rPr>
        <w:t>ДОЛЕВОМ</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СТРОИТЕЛЬСТВЕ</w:t>
      </w:r>
      <w:proofErr w:type="gramEnd"/>
      <w:r>
        <w:rPr>
          <w:rFonts w:ascii="Arial CYR" w:hAnsi="Arial CYR" w:cs="Arial CYR"/>
          <w:b/>
          <w:bCs/>
          <w:sz w:val="16"/>
          <w:szCs w:val="16"/>
        </w:rPr>
        <w:t>, ПРИ УСЛОВИИ СООТВЕТСТВИЯ КОТОРЫМ ЗАСТРОЙЩИКУ</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ПРЕДОСТАВЛЯЕТСЯ ПРАВО НА ПРИВЛЕЧЕНИЕ ДЕНЕЖНЫХ СРЕДСТВ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УЧАСТНИКОВ ДОЛЕВОГО СТРОИТЕЛЬСТВА БЕЗ ИСПОЛЬЗОВАНИЯ СЧЕТОВ,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ПРЕДУСМОТРЕННЫХ</w:t>
      </w:r>
      <w:proofErr w:type="gramEnd"/>
      <w:r>
        <w:rPr>
          <w:rFonts w:ascii="Arial CYR" w:hAnsi="Arial CYR" w:cs="Arial CYR"/>
          <w:b/>
          <w:bCs/>
          <w:sz w:val="16"/>
          <w:szCs w:val="16"/>
        </w:rPr>
        <w:t xml:space="preserve"> СТАТЬЕЙ 15.4 ФЕДЕРАЛЬНОГО ЗАКОНА</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УЧАСТИИ В ДОЛЕВОМ СТРОИТЕЛЬСТВЕ МНОГОКВАРТИРНЫХ ДОМОВ</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ИНЫХ ОБЪЕКТОВ НЕДВИЖИМОСТИ И О ВНЕСЕНИИ ИЗМЕНЕНИЙ</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НЕКОТОРЫЕ ЗАКОНОДАТЕЛЬНЫЕ АКТЫ РОССИЙСКОЙ ФЕДЕРАЦИИ",</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ДОГОВОРАМ УЧАСТИЯ В ДОЛЕВОМ СТРОИТЕЛЬСТВЕ,</w:t>
      </w:r>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lastRenderedPageBreak/>
        <w:t>ПРЕДСТАВЛЕННЫМ НА ГОСУДАРСТВЕННУЮ РЕГИСТРАЦИЮ</w:t>
      </w:r>
      <w:proofErr w:type="gramEnd"/>
    </w:p>
    <w:p w:rsidR="00116459" w:rsidRDefault="00116459" w:rsidP="00116459">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ПОСЛЕ 1 ИЮЛЯ 2019 Г.</w:t>
      </w:r>
    </w:p>
    <w:p w:rsidR="00116459" w:rsidRDefault="00116459" w:rsidP="00116459">
      <w:pPr>
        <w:autoSpaceDE w:val="0"/>
        <w:autoSpaceDN w:val="0"/>
        <w:adjustRightInd w:val="0"/>
        <w:spacing w:after="0" w:line="240" w:lineRule="auto"/>
        <w:jc w:val="center"/>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Заявление о готовности проекта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Расчет степени готовности, рассчитанной исходя из размера фактически понесенных затрат на строительство, выполненный застройщиком</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Расчет степени готовности проекта, рассчитанной суммарно в соответствии с готовностью конструктивных элементов всех объектов недвижимости, указанных в разрешении на строительство, выполненный специализированной организацией</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Выписка из Единого государственного реестра недвижимости о зарегистрированных договорах участия в долевом строительстве</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Ежеквартальная отчетность застройщика, сформированная не ранее чем за 15 дней до дня подачи заявления о готовности проекта строительства</w:t>
      </w:r>
    </w:p>
    <w:p w:rsidR="00116459" w:rsidRDefault="00116459" w:rsidP="00116459">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Регистры бухгалтерского учета застройщика или выписки из них в отношении проекта строительства</w:t>
      </w: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after="0" w:line="240" w:lineRule="auto"/>
        <w:ind w:firstLine="540"/>
        <w:jc w:val="both"/>
        <w:rPr>
          <w:rFonts w:ascii="Arial CYR" w:hAnsi="Arial CYR" w:cs="Arial CYR"/>
          <w:sz w:val="16"/>
          <w:szCs w:val="16"/>
        </w:rPr>
      </w:pPr>
    </w:p>
    <w:p w:rsidR="00116459" w:rsidRDefault="00116459" w:rsidP="00116459">
      <w:pPr>
        <w:autoSpaceDE w:val="0"/>
        <w:autoSpaceDN w:val="0"/>
        <w:adjustRightInd w:val="0"/>
        <w:spacing w:before="100" w:after="100" w:line="240" w:lineRule="auto"/>
        <w:jc w:val="both"/>
        <w:rPr>
          <w:rFonts w:ascii="Arial CYR" w:hAnsi="Arial CYR" w:cs="Arial CYR"/>
          <w:sz w:val="2"/>
          <w:szCs w:val="2"/>
        </w:rPr>
      </w:pPr>
    </w:p>
    <w:p w:rsidR="009E630A" w:rsidRDefault="009E630A">
      <w:bookmarkStart w:id="0" w:name="_GoBack"/>
      <w:bookmarkEnd w:id="0"/>
    </w:p>
    <w:sectPr w:rsidR="009E630A" w:rsidSect="00E67B4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59"/>
    <w:rsid w:val="00116459"/>
    <w:rsid w:val="009E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20Par154%20%20" TargetMode="External"/><Relationship Id="rId13" Type="http://schemas.openxmlformats.org/officeDocument/2006/relationships/hyperlink" Target="consultantplus://offline/ref=C4A5BB2248671973E0EFD104574F29131A0C3C19FDC5E8F0F1F7CC41273D6E7547B251A2FEC2873069CFFC7E9E511A3B437861E4236CTCk0E%20" TargetMode="External"/><Relationship Id="rId18" Type="http://schemas.openxmlformats.org/officeDocument/2006/relationships/image" Target="media/image1.wmf"/><Relationship Id="rId26" Type="http://schemas.openxmlformats.org/officeDocument/2006/relationships/hyperlink" Target="l%20Par98%20%20" TargetMode="External"/><Relationship Id="rId3" Type="http://schemas.openxmlformats.org/officeDocument/2006/relationships/settings" Target="settings.xml"/><Relationship Id="rId21" Type="http://schemas.openxmlformats.org/officeDocument/2006/relationships/hyperlink" Target="consultantplus://offline/ref=C4A5BB2248671973E0EFD104574F29131A0F3D1DFDC4E8F0F1F7CC41273D6E7547B251A6F7C6813E3895EC7AD706112745607FE03D6FC9DFT0kBE%20" TargetMode="External"/><Relationship Id="rId7" Type="http://schemas.openxmlformats.org/officeDocument/2006/relationships/hyperlink" Target="l%20Par80%20%20" TargetMode="External"/><Relationship Id="rId12" Type="http://schemas.openxmlformats.org/officeDocument/2006/relationships/hyperlink" Target="consultantplus://offline/ref=C4A5BB2248671973E0EFD104574F29131A0C3C19FDC5E8F0F1F7CC41273D6E7547B251A2FEC7873069CFFC7E9E511A3B437861E4236CTCk0E%20" TargetMode="External"/><Relationship Id="rId17" Type="http://schemas.openxmlformats.org/officeDocument/2006/relationships/hyperlink" Target="consultantplus://offline/ref=C4A5BB2248671973E0EFD104574F29131A0F3D1CFCC7E8F0F1F7CC41273D6E7547B251A6F7C6833A3F95EC7AD706112745607FE03D6FC9DFT0kBE%20" TargetMode="External"/><Relationship Id="rId25" Type="http://schemas.openxmlformats.org/officeDocument/2006/relationships/hyperlink" Target="l%20Par136%20%20" TargetMode="External"/><Relationship Id="rId2" Type="http://schemas.microsoft.com/office/2007/relationships/stylesWithEffects" Target="stylesWithEffects.xml"/><Relationship Id="rId16" Type="http://schemas.openxmlformats.org/officeDocument/2006/relationships/hyperlink" Target="consultantplus://offline/ref=C4A5BB2248671973E0EFD104574F29131A0F3D1CFCC7E8F0F1F7CC41273D6E7547B251A6F7C6833A3F95EC7AD706112745607FE03D6FC9DFT0kBE%20" TargetMode="External"/><Relationship Id="rId20" Type="http://schemas.openxmlformats.org/officeDocument/2006/relationships/hyperlink" Target="consultantplus://offline/ref=C4A5BB2248671973E0EFD104574F29131A0F3D1CFCC7E8F0F1F7CC41273D6E7547B251A6F7C681333D95EC7AD706112745607FE03D6FC9DFT0kBE%20" TargetMode="External"/><Relationship Id="rId1" Type="http://schemas.openxmlformats.org/officeDocument/2006/relationships/styles" Target="styles.xml"/><Relationship Id="rId6" Type="http://schemas.openxmlformats.org/officeDocument/2006/relationships/hyperlink" Target="l%20Par43%20%20" TargetMode="External"/><Relationship Id="rId11" Type="http://schemas.openxmlformats.org/officeDocument/2006/relationships/hyperlink" Target="consultantplus://offline/ref=C4A5BB2248671973E0EFD104574F29131A0F3D1CFCC7E8F0F1F7CC41273D6E7555B209AAF5C09B3B3B80BA2B92T5kAE%20" TargetMode="External"/><Relationship Id="rId24" Type="http://schemas.openxmlformats.org/officeDocument/2006/relationships/hyperlink" Target="consultantplus://offline/ref=C4A5BB2248671973E0EFD104574F29131A0F3D1CFCC7E8F0F1F7CC41273D6E7547B251A6F7C6833A3F95EC7AD706112745607FE03D6FC9DFT0kBE%20" TargetMode="External"/><Relationship Id="rId5" Type="http://schemas.openxmlformats.org/officeDocument/2006/relationships/hyperlink" Target="consultantplus://offline/ref=C4A5BB2248671973E0EFD104574F29131A0F3D1DFDC4E8F0F1F7CC41273D6E7547B251A6F7C6813C3C95EC7AD706112745607FE03D6FC9DFT0kBE%20" TargetMode="External"/><Relationship Id="rId15" Type="http://schemas.openxmlformats.org/officeDocument/2006/relationships/hyperlink" Target="consultantplus://offline/ref=C4A5BB2248671973E0EFD104574F29131A0F3A18F2CCE8F0F1F7CC41273D6E7547B251A6F0C58C3069CFFC7E9E511A3B437861E4236CTCk0E%20"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consultantplus://offline/ref=C4A5BB2248671973E0EFD104574F29131A0F3D1CFCC7E8F0F1F7CC41273D6E7547B251A6F7C6833A3F95EC7AD706112745607FE03D6FC9DFT0kBE%20"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l%20Par66%20%20" TargetMode="External"/><Relationship Id="rId14" Type="http://schemas.openxmlformats.org/officeDocument/2006/relationships/hyperlink" Target="consultantplus://offline/ref=C4A5BB2248671973E0EFD104574F29131A0F3A18F2CCE8F0F1F7CC41273D6E7547B251A3F0C68E6F6CDAED269155022545607DE622T6k4E%20" TargetMode="External"/><Relationship Id="rId22" Type="http://schemas.openxmlformats.org/officeDocument/2006/relationships/hyperlink" Target="consultantplus://offline/ref=C4A5BB2248671973E0EFD104574F29131A0F3D1CFCC7E8F0F1F7CC41273D6E7547B251A6F7C6833D3995EC7AD706112745607FE03D6FC9DFT0kBE%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Нуриева</dc:creator>
  <cp:lastModifiedBy>Вера Нуриева</cp:lastModifiedBy>
  <cp:revision>1</cp:revision>
  <dcterms:created xsi:type="dcterms:W3CDTF">2019-06-26T04:36:00Z</dcterms:created>
  <dcterms:modified xsi:type="dcterms:W3CDTF">2019-06-26T04:38:00Z</dcterms:modified>
</cp:coreProperties>
</file>