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7"/>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о заключении договора пожертвования</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Значение настоящей публичной оферты</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Настоящая публичная оферта (Далее- «Оферта») является предложением Фонда Социальной поддержки «Хорошие Люди» (Далее – «Фонд»), реквизиты которого указаны в разделе 6 Оферты, в лице Председателя Фонда Морозова Родиона Сергеевича, действующего на основании Устава, заключить с любым лицом, кто отзовется на Оферту (Далее – «Жертвователь»), договор пожертвования (Далее – «Договор»), на условиях предусмотренных Офертой.</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является публичной офертой в соответствии с пунктом 2 статьи 437 Гражданского кодекса Российской Федерации.</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вступает в силу со дня, следующего за днем размещения ее на сайте Фонда в сети Интернет по адресу </w:t>
      </w:r>
      <w:hyperlink r:id="rId7">
        <w:r w:rsidDel="00000000" w:rsidR="00000000" w:rsidRPr="00000000">
          <w:rPr>
            <w:rFonts w:ascii="Times New Roman" w:cs="Times New Roman" w:eastAsia="Times New Roman" w:hAnsi="Times New Roman"/>
            <w:color w:val="1155cc"/>
            <w:sz w:val="24"/>
            <w:szCs w:val="24"/>
            <w:u w:val="single"/>
            <w:rtl w:val="0"/>
          </w:rPr>
          <w:t xml:space="preserve">https://horoshiedela.ru</w:t>
        </w:r>
      </w:hyperlink>
      <w:r w:rsidDel="00000000" w:rsidR="00000000" w:rsidRPr="00000000">
        <w:rPr>
          <w:rFonts w:ascii="Times New Roman" w:cs="Times New Roman" w:eastAsia="Times New Roman" w:hAnsi="Times New Roman"/>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(Далее – «Сайт»).</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действует бессрочно. Организация вправе отменить Оферту в любое время без объяснения причин.</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Оферту могут быть внесены изменения и дополнения, которые вступают в силу со дня, следующего за днем их размещения на Сайте.</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Недействительность одного или нескольких условий Оферты не влечет недействительности всех остальных условий Оферты.</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Местом размещения Оферты считается город Саратов, Российская Федерация.</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договора</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настоящей Оферте Благотворитель в качестве добровольного благотворительного пожертвования передает Фонду собственные денежные средства любым удобным для Благотворителя способом, а Фонд принимает  Благотворительное пожертвование и использует его для реализации Благотворительных программ Фонда и уставных целей Фонда. Факт перечисления пожертвования на счет Фонда, в том числе путем отправки SMS-сообщения, в рамках проектов Фонда свидетельствует о полном согласии Благотворителя с условиями Оферты. Осуществление Благотворителем действий признается пожертвованием в соответствии со статьей 582 Гражданского кодекса Российской Федерации.</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передаче пожертвования Нерезидентов РФ Благотворитель обязан в назначении платежа указать ФИО и гражданство.</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выбранный Благотворителем способ перевода пожертвования не позволяет указать назначение платежа, Благотворитель имеет право уточнить цели пожертвования другим письменным способом.</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Сумма пожертвования: сумма пожертвования определяется Жертвователем.</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пожертвования: благотворительное пожертвование передается на осуществление Фондом Благотворительных программ и уставной деятельности Фонда.</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заключения Договора</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 заключается путем акцепта Оферты Жертвователем.</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Оферта может быть акцептована Жертвователем путем перечисления денежных средств любым платежным способом, который указан на сайте, на расчетный счет Фонда по реквизитам, указанным в разделе  6 Оферты.</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Совершение Жертвователем действий, предусмотренных пунктом 3.2 Оферты, считается акцептом Оферты в соответствии с частью 3 статьи 438 Гражданского кодекса Российской Федерации.</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Датой акцепта Оферты и, соответственно, датой заключения Договора является дата поступления денежных средств от Жертвователя на расчетный счет Фонда.</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Жертвователь не устанавливает сроки использования добровольного пожертвования Фондом.</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Фонд обязуется использовать полученные от Жертвователя по настоящему договору денежные средства строго в соответствии с действующим законодательством РФ и в рамках уставной деятельности.</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Жертвователь имеет право по своему усмотрению выбрать объект оказания помощи, указав соответствующее Назначение платежа при переводе пожертвования. Актуальный список проектов и имена нуждающихся публикуются на сайте, в соцсетях и СМИ. Полученные от Жертвователя в качестве пожертвований денежные средства на конкретный проект и определенное имя человека, нуждающегося в помощи, не израсходованные Фондом в полном объеме или частично по причине закрытия потребности согласно назначению пожертвований, не возвращаются, а остаются на балансе данного проекта с целью помощи людям, нуждающимся в аналогичной адресной помощи.</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получении безадресного пожертвования Фонд самостоятельно конкретизирует его использование, исходя из статей бюджета, утвержденных Советом Фонда.</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получении пожертвования с указанием фамилии и имени нуждающегося Фонд направляет пожертвование на помощь этому лицу. В том случае, если сумма пожертвований конкретному лицу превысит сумму, необходимую для оказания помощи, Фонд информирует об этом Жертвователей, размещая информацию на сайте. Фонд по своему усмотрению использует положительную разницу между суммой поступивших пожертвований и суммой, необходимой для помощи конкретному лицу, согласно данной приоритетности: 1) направление денежных средств по проекту «адресная помощь» другим лицам, обратившимся за помощью, 2) на другие уставные цели Фонда, 3) расходы на административные нужды Фонда.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3dytmvxukb2"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Жертвователь, не согласившийся с переменой цели финансирования, вправе в течение 14 календарных дней после публикации указанной информации потребовать в письменной форме возврата денег.</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Жертвователь совершил пожертвование ошибочно, возврат денежных средств осуществляется на электронный счет Жертвователя в течение 15-и банковских дней после получения от Жертвователя письменного обращения с подтверждением перевода, ФИО, причиной возврата.</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Пожертвования, полученные Фондом, расходуются Фондом следующим образом:</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80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менее 80% от суммы пожертвования направляются на поддержку выбранных Жертвователем проекта;</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80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более 20% от суммы пожертвования направляются на покрытие расходов по администрированию расходов Фонда, включая расходы по переводу пожертвованных средств  (комиссия банка, хостинг сайта и пр.). Полученные от Жертвователя в качестве пожертвований денежные средства, не израсходованные Фондом в полном объеме на покрытие вышеуказанных расходов, не возвращаются, а перераспределяются Фондом самостоятельно на другие актуальные уставные цели, в том числе на случае экстренной помощи для других нуждающихся.</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Жертвователь дает Фонду согласие на обработку предоставленных Жертвователем при осуществлении добровольного пожертвования персональных данных (ФИО, адрес электронной почты, гражданство для нерезидентов РФ), в том числе третьим лицам, для целей исполнения настоящего договора, включая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Во всех остальных случаях Фонд обязуется не раскрывать третьим лицам личную информацию Жертвователя без его письменного согласия. Исключением являются требования данной информации государственными органами, имеющими полномочия требовать такую информацию. Согласие на обработку персональных данных действует до тех пор, пока Жертвователь не отзовет его в письменном виде.</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Жертвователь имеет право на получение информации об использовании пожертвования. Для реализации указанного права Фонд размещает на сайте: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Информацию о суммах пожертвований, полученных Фондом, в том числе о суммах пожертвований, полученных для оказания Фондом помощи каждому конкретному проекту и человеку;</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 о целевом использовании полученных пожертвований, в том числе для оказания Фондом помощи каждому конкретному проекту и человеку;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Отчет об использовании пожертвований в случае перемены лица, на помощь которому направляется пожертвование;</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Документы, в том числе медицинские и иные материалы, на основании которых принимаются решения об оказании адресной помощи, находятся на постоянном хранении у Фонда.</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Фонд не несет перед Жертвователем иных обязательств, кроме обязательств, указанных в настоящем Договоре.</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Прочие условия</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Совершая действия, предусмотренные данной Офертой, Жертвователь подтверждает, что ознакомлен с условиями и текстом настоящей Оферты, осознает значение своих действий, имеет полное право на их совершение и полностью принимает условия настоящей Оферты.</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Настоящая Оферта регулируется и толкуется в соответствии с законодательством Российской Федерации.</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00" w:before="0" w:line="276"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Реквизиты</w:t>
      </w:r>
    </w:p>
    <w:p w:rsidR="00000000" w:rsidDel="00000000" w:rsidP="00000000" w:rsidRDefault="00000000" w:rsidRPr="00000000" w14:paraId="0000002C">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ind w:lef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Юридический адрес: г.Саратов, пр-т 50 лет Октября, д.128, кв. 12</w:t>
      </w:r>
    </w:p>
    <w:p w:rsidR="00000000" w:rsidDel="00000000" w:rsidP="00000000" w:rsidRDefault="00000000" w:rsidRPr="00000000" w14:paraId="0000002E">
      <w:pPr>
        <w:widowControl w:val="0"/>
        <w:spacing w:after="0" w:line="240" w:lineRule="auto"/>
        <w:ind w:lef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6453156952 КПП 645301001</w:t>
      </w:r>
    </w:p>
    <w:p w:rsidR="00000000" w:rsidDel="00000000" w:rsidP="00000000" w:rsidRDefault="00000000" w:rsidRPr="00000000" w14:paraId="0000002F">
      <w:pPr>
        <w:widowControl w:val="0"/>
        <w:spacing w:after="0" w:line="240" w:lineRule="auto"/>
        <w:ind w:lef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1186451017026</w:t>
      </w:r>
    </w:p>
    <w:p w:rsidR="00000000" w:rsidDel="00000000" w:rsidP="00000000" w:rsidRDefault="00000000" w:rsidRPr="00000000" w14:paraId="00000030">
      <w:pPr>
        <w:widowControl w:val="0"/>
        <w:spacing w:after="0" w:line="240" w:lineRule="auto"/>
        <w:ind w:lef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Р/сч 40701810756000000062 в Поволжском Банке ПАО СБЕРБАНК</w:t>
      </w:r>
    </w:p>
    <w:p w:rsidR="00000000" w:rsidDel="00000000" w:rsidP="00000000" w:rsidRDefault="00000000" w:rsidRPr="00000000" w14:paraId="00000031">
      <w:pPr>
        <w:tabs>
          <w:tab w:val="left" w:leader="none" w:pos="567"/>
        </w:tabs>
        <w:spacing w:after="0" w:line="240" w:lineRule="auto"/>
        <w:ind w:left="1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БИК 043601607 К/с 30101810200000000607</w:t>
      </w:r>
    </w:p>
    <w:p w:rsidR="00000000" w:rsidDel="00000000" w:rsidP="00000000" w:rsidRDefault="00000000" w:rsidRPr="00000000" w14:paraId="00000032">
      <w:pPr>
        <w:tabs>
          <w:tab w:val="left" w:leader="none" w:pos="567"/>
        </w:tabs>
        <w:spacing w:after="0" w:line="240" w:lineRule="auto"/>
        <w:ind w:left="113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tabs>
          <w:tab w:val="left" w:leader="none" w:pos="567"/>
        </w:tabs>
        <w:spacing w:after="0" w:line="240" w:lineRule="auto"/>
        <w:ind w:left="113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leader="none" w:pos="567"/>
        </w:tabs>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993" w:top="993" w:left="851"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AA260F"/>
    <w:pPr>
      <w:ind w:left="720"/>
      <w:contextualSpacing w:val="1"/>
    </w:pPr>
  </w:style>
  <w:style w:type="character" w:styleId="a4">
    <w:name w:val="Hyperlink"/>
    <w:basedOn w:val="a0"/>
    <w:uiPriority w:val="99"/>
    <w:unhideWhenUsed w:val="1"/>
    <w:rsid w:val="00D72065"/>
    <w:rPr>
      <w:color w:val="0000ff" w:themeColor="hyperlink"/>
      <w:u w:val="single"/>
    </w:rPr>
  </w:style>
  <w:style w:type="paragraph" w:styleId="a5">
    <w:name w:val="header"/>
    <w:basedOn w:val="a"/>
    <w:link w:val="a6"/>
    <w:rsid w:val="00DA7666"/>
    <w:pPr>
      <w:tabs>
        <w:tab w:val="center" w:pos="4153"/>
        <w:tab w:val="right" w:pos="8306"/>
      </w:tabs>
      <w:spacing w:after="0" w:before="100" w:beforeAutospacing="1"/>
    </w:pPr>
    <w:rPr>
      <w:rFonts w:ascii="Times New Roman" w:cs="Times New Roman" w:eastAsia="Calibri" w:hAnsi="Times New Roman"/>
      <w:sz w:val="24"/>
      <w:lang w:eastAsia="ru-RU"/>
    </w:rPr>
  </w:style>
  <w:style w:type="character" w:styleId="a6" w:customStyle="1">
    <w:name w:val="Верхний колонтитул Знак"/>
    <w:basedOn w:val="a0"/>
    <w:link w:val="a5"/>
    <w:rsid w:val="00DA7666"/>
    <w:rPr>
      <w:rFonts w:ascii="Times New Roman" w:cs="Times New Roman" w:eastAsia="Calibri" w:hAnsi="Times New Roman"/>
      <w:sz w:val="24"/>
      <w:lang w:eastAsia="ru-RU"/>
    </w:rPr>
  </w:style>
  <w:style w:type="paragraph" w:styleId="a7">
    <w:name w:val="Balloon Text"/>
    <w:basedOn w:val="a"/>
    <w:link w:val="a8"/>
    <w:uiPriority w:val="99"/>
    <w:semiHidden w:val="1"/>
    <w:unhideWhenUsed w:val="1"/>
    <w:rsid w:val="00B31B50"/>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B31B5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oroshiede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8ypdt+z1OzOg8JvDF+/mYw+Gg==">CgMxLjAyDmguMjNkeXRtdnh1a2IyOAByITF3MTFIUHlzQXBSZUpoY2E1ejZVSTF4SXhVcEd4aGpXOQ==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2021-05-18T07:48:00Z</dcterms:created>
  <dc:creator>admin</dc:creator>
</cp:coreProperties>
</file>