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51B37" w:rsidRDefault="00ED515F">
      <w:pPr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  <w:r>
        <w:rPr>
          <w:rFonts w:ascii="Times New Roman" w:hAnsi="Times New Roman" w:cs="Times New Roman"/>
          <w:b/>
          <w:sz w:val="28"/>
          <w:szCs w:val="28"/>
        </w:rPr>
        <w:t>Мобильное приложение «Госуслуги Дом»</w:t>
      </w:r>
    </w:p>
    <w:p w:rsidR="00351B37" w:rsidRDefault="00ED515F">
      <w:pPr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</w:rPr>
        <w:t>«Госуслуги Дом» – мобильное приложение, которое позволяет реши</w:t>
      </w:r>
      <w:r>
        <w:rPr>
          <w:rFonts w:ascii="Times New Roman" w:hAnsi="Times New Roman" w:cs="Times New Roman"/>
          <w:sz w:val="24"/>
          <w:szCs w:val="24"/>
        </w:rPr>
        <w:t>ть все вопросы ЖКХ в одном окне. Приложение создано на базе государственной информационной системы ЖКХ («ГИС ЖКХ»). Цифровое решение развивает АО «Оператор информационной системы» при поддержке Минстроя и Минцифры России. Приложение доступно для скачивания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в </w:t>
      </w:r>
      <w:hyperlink r:id="rId6" w:tooltip="https://apps.rustore.ru/app/ru.sigma.gisgkh" w:history="1">
        <w:r>
          <w:rPr>
            <w:rStyle w:val="af9"/>
            <w:rFonts w:ascii="Times New Roman" w:eastAsia="Times New Roman" w:hAnsi="Times New Roman" w:cs="Times New Roman"/>
            <w:sz w:val="24"/>
            <w:szCs w:val="24"/>
            <w:lang w:eastAsia="ru-RU"/>
          </w:rPr>
          <w:t>RuStore</w:t>
        </w:r>
      </w:hyperlink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</w:t>
      </w:r>
      <w:hyperlink r:id="rId7" w:tooltip="https://apps.apple.com/ru/app/%D0%B3%D0%BE%D1%81%D1%83%D1%81%D0%BB%D1%83%D0%B3%D0%B8-%D0%B4%D0%BE%D0%BC/id1616550510" w:history="1">
        <w:r>
          <w:rPr>
            <w:rStyle w:val="af9"/>
            <w:rFonts w:ascii="Times New Roman" w:eastAsia="Times New Roman" w:hAnsi="Times New Roman" w:cs="Times New Roman"/>
            <w:sz w:val="24"/>
            <w:szCs w:val="24"/>
            <w:lang w:eastAsia="ru-RU"/>
          </w:rPr>
          <w:t>AppStore</w:t>
        </w:r>
      </w:hyperlink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</w:t>
      </w:r>
      <w:hyperlink r:id="rId8" w:tooltip="https://play.google.com/store/apps/details?id=ru.sigma.gisgkh&amp;hl=ru&amp;gl=US" w:history="1">
        <w:r>
          <w:rPr>
            <w:rStyle w:val="af9"/>
            <w:rFonts w:ascii="Times New Roman" w:eastAsia="Times New Roman" w:hAnsi="Times New Roman" w:cs="Times New Roman"/>
            <w:sz w:val="24"/>
            <w:szCs w:val="24"/>
            <w:lang w:eastAsia="ru-RU"/>
          </w:rPr>
          <w:t>Google Play</w:t>
        </w:r>
      </w:hyperlink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 </w:t>
      </w:r>
      <w:hyperlink r:id="rId9" w:tooltip="https://huaweimobileservices.com/ru/appgallery-russian/" w:history="1">
        <w:r>
          <w:rPr>
            <w:rStyle w:val="af9"/>
            <w:rFonts w:ascii="Times New Roman" w:eastAsia="Times New Roman" w:hAnsi="Times New Roman" w:cs="Times New Roman"/>
            <w:sz w:val="24"/>
            <w:szCs w:val="24"/>
            <w:lang w:eastAsia="ru-RU"/>
          </w:rPr>
          <w:t>AppGallery</w:t>
        </w:r>
      </w:hyperlink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 Более 11 млн россиян уже сделали установку.</w:t>
      </w:r>
    </w:p>
    <w:p w:rsidR="00351B37" w:rsidRDefault="00ED515F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Основные ф</w:t>
      </w:r>
      <w:r>
        <w:rPr>
          <w:rFonts w:ascii="Times New Roman" w:hAnsi="Times New Roman" w:cs="Times New Roman"/>
          <w:b/>
          <w:sz w:val="24"/>
          <w:szCs w:val="24"/>
        </w:rPr>
        <w:t>ункции</w:t>
      </w:r>
    </w:p>
    <w:p w:rsidR="00351B37" w:rsidRDefault="00ED515F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Заявки </w:t>
      </w:r>
    </w:p>
    <w:p w:rsidR="00351B37" w:rsidRDefault="00ED515F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приложении можно отправить заявку в управляющую организацию прямо через свой смартфон, в любое время и в удобном месте. Работает умный чат-бот, который поможет классифицировать проблему и задаст уточняющие вопросы. К заявке можно добавить </w:t>
      </w:r>
      <w:r>
        <w:rPr>
          <w:rFonts w:ascii="Times New Roman" w:hAnsi="Times New Roman" w:cs="Times New Roman"/>
          <w:sz w:val="24"/>
          <w:szCs w:val="24"/>
        </w:rPr>
        <w:t>иллюстрирующие проблему фотографии. После отправки приложение сообщит регламентированные сроки ответа, а когда обратная связь поступит — пришлет уведомление. Ответ управляющей организации можно оценить. Если проблема так и не решилась, пользователь может п</w:t>
      </w:r>
      <w:r>
        <w:rPr>
          <w:rFonts w:ascii="Times New Roman" w:hAnsi="Times New Roman" w:cs="Times New Roman"/>
          <w:sz w:val="24"/>
          <w:szCs w:val="24"/>
        </w:rPr>
        <w:t>ожаловаться в жилищную инспекцию. Помимо управляющей организации, пользователь может отправить заявку в ресурсоснабжающую организацию (если проблема касается счетчиков) или в службу поддержки (если есть вопросы о работе приложения).</w:t>
      </w:r>
    </w:p>
    <w:p w:rsidR="00351B37" w:rsidRDefault="00ED515F">
      <w:p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Коллективные заявки</w:t>
      </w:r>
    </w:p>
    <w:p w:rsidR="00351B37" w:rsidRDefault="00ED515F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 с</w:t>
      </w:r>
      <w:r>
        <w:rPr>
          <w:rFonts w:ascii="Times New Roman" w:hAnsi="Times New Roman" w:cs="Times New Roman"/>
          <w:sz w:val="24"/>
          <w:szCs w:val="24"/>
        </w:rPr>
        <w:t>ентября 2024 года у пользователей есть возможность подать коллективную заявку в управляющую организацию. Инициатор публикует заявку для соседей и отправляет ее, когда соседи присоединятся к ней. Управляющая организация получает одну заявку вместо нескольки</w:t>
      </w:r>
      <w:r>
        <w:rPr>
          <w:rFonts w:ascii="Times New Roman" w:hAnsi="Times New Roman" w:cs="Times New Roman"/>
          <w:sz w:val="24"/>
          <w:szCs w:val="24"/>
        </w:rPr>
        <w:t>х и готовит один ответ, копию которого получают все присоединившиеся жильцы. Соседи могут следить за прогрессом заявки вместе с инициатором и получают пуш-сообщения, когда статус заявки изменился.</w:t>
      </w:r>
    </w:p>
    <w:p w:rsidR="00351B37" w:rsidRDefault="00ED515F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Домовые чаты</w:t>
      </w:r>
    </w:p>
    <w:p w:rsidR="00351B37" w:rsidRDefault="00ED515F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«Госуслуги Дом» у каждого многоквартирного д</w:t>
      </w:r>
      <w:r>
        <w:rPr>
          <w:rFonts w:ascii="Times New Roman" w:hAnsi="Times New Roman" w:cs="Times New Roman"/>
          <w:sz w:val="24"/>
          <w:szCs w:val="24"/>
        </w:rPr>
        <w:t>ома есть свой общедомовой чат на платформе VK Мессенджер. Попасть в него могут исключительно подтвержденные собственники квартир, перейдя по баннеру в мобильном приложении. Присоединяясь к чату, пользователь проходит бесшовную авторизацию или регистрацию в</w:t>
      </w:r>
      <w:r>
        <w:rPr>
          <w:rFonts w:ascii="Times New Roman" w:hAnsi="Times New Roman" w:cs="Times New Roman"/>
          <w:sz w:val="24"/>
          <w:szCs w:val="24"/>
        </w:rPr>
        <w:t xml:space="preserve"> VK и в дальнейшем может заходить в чат напрямую из VK. Домовые чаты в популярной соцсети позволяют жителям познакомиться с соседями, найти единомышленников, обсудить и решить проблемы, касающиеся их дома. В чате удобно обсуждать решения перед организацией</w:t>
      </w:r>
      <w:r>
        <w:rPr>
          <w:rFonts w:ascii="Times New Roman" w:hAnsi="Times New Roman" w:cs="Times New Roman"/>
          <w:sz w:val="24"/>
          <w:szCs w:val="24"/>
        </w:rPr>
        <w:t xml:space="preserve"> общедомового собрания собственников или отправкой коллективной заявки. В отличие от чатов, инициированных жильцами, официальный чат защищен от удаления или исключения отдельных соседей.</w:t>
      </w:r>
    </w:p>
    <w:p w:rsidR="00351B37" w:rsidRDefault="00ED515F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Голосование</w:t>
      </w:r>
    </w:p>
    <w:p w:rsidR="00351B37" w:rsidRDefault="00ED515F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приложении пользователь может голосовать в общедомовых </w:t>
      </w:r>
      <w:r>
        <w:rPr>
          <w:rFonts w:ascii="Times New Roman" w:hAnsi="Times New Roman" w:cs="Times New Roman"/>
          <w:sz w:val="24"/>
          <w:szCs w:val="24"/>
        </w:rPr>
        <w:t>собраниях собственников, организованных в заочной форме с использованием системы. Это позволяет принимать решения по дому, независимо от времени суток или местоположения собственников. Когда начинается голосование, на главной странице появляется баннер. Пе</w:t>
      </w:r>
      <w:r>
        <w:rPr>
          <w:rFonts w:ascii="Times New Roman" w:hAnsi="Times New Roman" w:cs="Times New Roman"/>
          <w:sz w:val="24"/>
          <w:szCs w:val="24"/>
        </w:rPr>
        <w:t xml:space="preserve">рейдя по нему, пользователь может ознакомиться с информацией о собрании (кто инициатор и до какого срока можно голосовать), изучить повестку голосования и дополнительные материалы, </w:t>
      </w:r>
      <w:r>
        <w:rPr>
          <w:rFonts w:ascii="Times New Roman" w:hAnsi="Times New Roman" w:cs="Times New Roman"/>
          <w:sz w:val="24"/>
          <w:szCs w:val="24"/>
        </w:rPr>
        <w:lastRenderedPageBreak/>
        <w:t xml:space="preserve">которые помогут принять решение. Пока собрание открыто, пользователь может </w:t>
      </w:r>
      <w:r>
        <w:rPr>
          <w:rFonts w:ascii="Times New Roman" w:hAnsi="Times New Roman" w:cs="Times New Roman"/>
          <w:sz w:val="24"/>
          <w:szCs w:val="24"/>
        </w:rPr>
        <w:t xml:space="preserve">голосовать в любое удобное время. </w:t>
      </w:r>
    </w:p>
    <w:p w:rsidR="00351B37" w:rsidRDefault="00ED515F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Показания </w:t>
      </w:r>
    </w:p>
    <w:p w:rsidR="00351B37" w:rsidRDefault="00ED515F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разделе «Показания» можно передавать данные всех приборов учета по любым коммунальным ресурсам. Перед отправкой показаний приложение отображает данные предыдущего периода и подсчитывает расход. Если вводимое показание меньше предыдущего или расход в этом</w:t>
      </w:r>
      <w:r>
        <w:rPr>
          <w:rFonts w:ascii="Times New Roman" w:hAnsi="Times New Roman" w:cs="Times New Roman"/>
          <w:sz w:val="24"/>
          <w:szCs w:val="24"/>
        </w:rPr>
        <w:t xml:space="preserve"> месяце выше среднего, приложение выводит предупреждение и предлагает еще раз перепроверить данные. В приложении удобно следить за ежемесячным расходом ресурсов: история показаний подскажет, сколько воды или электричества потрачено в предыдущие периоды.</w:t>
      </w:r>
    </w:p>
    <w:p w:rsidR="00351B37" w:rsidRDefault="00ED515F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</w:t>
      </w:r>
      <w:r>
        <w:rPr>
          <w:rFonts w:ascii="Times New Roman" w:hAnsi="Times New Roman" w:cs="Times New Roman"/>
          <w:sz w:val="24"/>
          <w:szCs w:val="24"/>
        </w:rPr>
        <w:t>иборы учета можно подписать: это удобно для тех собственников, у которых в квартире больше одного счетчика на каждый ресурс. Если же у пользователя не отображаются приборы учета или данные некорректны, он может подать заявку в ресурсоснабжающую организацию</w:t>
      </w:r>
      <w:r>
        <w:rPr>
          <w:rFonts w:ascii="Times New Roman" w:hAnsi="Times New Roman" w:cs="Times New Roman"/>
          <w:sz w:val="24"/>
          <w:szCs w:val="24"/>
        </w:rPr>
        <w:t xml:space="preserve"> прямо из раздела показаний. У приборов обозначена дата следующей поверки: по мере ее приближения приложение напоминает пользователям о необходимости провести поверку, чтобы избежать роста счетов за ЖКУ. </w:t>
      </w:r>
    </w:p>
    <w:p w:rsidR="00351B37" w:rsidRDefault="00ED515F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Счета</w:t>
      </w:r>
    </w:p>
    <w:p w:rsidR="00351B37" w:rsidRDefault="00ED515F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разделе «Счета» собственник может посмотрет</w:t>
      </w:r>
      <w:r>
        <w:rPr>
          <w:rFonts w:ascii="Times New Roman" w:hAnsi="Times New Roman" w:cs="Times New Roman"/>
          <w:sz w:val="24"/>
          <w:szCs w:val="24"/>
        </w:rPr>
        <w:t>ь квитанцию и увидеть подробную расшифровку всех услуг, которые оплачивает. Кроме того, он может оплатить счет частично, введя нужное значение вручную. В разделе можно подать заявку в управляющую организацию, чтобы задать уточняющие вопросы о начислениях и</w:t>
      </w:r>
      <w:r>
        <w:rPr>
          <w:rFonts w:ascii="Times New Roman" w:hAnsi="Times New Roman" w:cs="Times New Roman"/>
          <w:sz w:val="24"/>
          <w:szCs w:val="24"/>
        </w:rPr>
        <w:t xml:space="preserve">ли прошлых платежах. Оплатить счета можно картой, </w:t>
      </w:r>
      <w:r>
        <w:rPr>
          <w:rFonts w:ascii="Times New Roman" w:hAnsi="Times New Roman" w:cs="Times New Roman"/>
          <w:sz w:val="24"/>
          <w:szCs w:val="24"/>
          <w:lang w:val="en-GB"/>
        </w:rPr>
        <w:t>MirPay</w:t>
      </w:r>
      <w:r>
        <w:rPr>
          <w:rFonts w:ascii="Times New Roman" w:hAnsi="Times New Roman" w:cs="Times New Roman"/>
          <w:sz w:val="24"/>
          <w:szCs w:val="24"/>
        </w:rPr>
        <w:t xml:space="preserve"> (только для </w:t>
      </w:r>
      <w:r>
        <w:rPr>
          <w:rFonts w:ascii="Times New Roman" w:hAnsi="Times New Roman" w:cs="Times New Roman"/>
          <w:sz w:val="24"/>
          <w:szCs w:val="24"/>
          <w:lang w:val="en-GB"/>
        </w:rPr>
        <w:t>Android</w:t>
      </w:r>
      <w:r>
        <w:rPr>
          <w:rFonts w:ascii="Times New Roman" w:hAnsi="Times New Roman" w:cs="Times New Roman"/>
          <w:sz w:val="24"/>
          <w:szCs w:val="24"/>
        </w:rPr>
        <w:t xml:space="preserve">) или с помощью СБП. </w:t>
      </w:r>
    </w:p>
    <w:p w:rsidR="00351B37" w:rsidRDefault="00ED515F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Отчеты</w:t>
      </w:r>
    </w:p>
    <w:p w:rsidR="00351B37" w:rsidRDefault="00ED515F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«Госуслуги Дом» пользователи получают возможность контролировать расходы управляющей компании, изучая ее отчеты за прошедшие годы. Из документов можн</w:t>
      </w:r>
      <w:r>
        <w:rPr>
          <w:rFonts w:ascii="Times New Roman" w:hAnsi="Times New Roman" w:cs="Times New Roman"/>
          <w:sz w:val="24"/>
          <w:szCs w:val="24"/>
        </w:rPr>
        <w:t>о узнать, сколько денег потрачено и на какие работы. Отчет за предыдущий год обычно размещают до 1 апреля. Если отчета нет или у пользователя есть вопросы по проведенным работам, он может отправить заявку в управляющую организацию и запросить более подробн</w:t>
      </w:r>
      <w:r>
        <w:rPr>
          <w:rFonts w:ascii="Times New Roman" w:hAnsi="Times New Roman" w:cs="Times New Roman"/>
          <w:sz w:val="24"/>
          <w:szCs w:val="24"/>
        </w:rPr>
        <w:t xml:space="preserve">ый отчет. </w:t>
      </w:r>
    </w:p>
    <w:p w:rsidR="00351B37" w:rsidRDefault="00ED515F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Капитальный ремонт</w:t>
      </w:r>
    </w:p>
    <w:p w:rsidR="00351B37" w:rsidRDefault="00ED515F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приложении пользователи могут ознакомиться с планами по капитальному ремонту и посмотреть, какие работы были проведены в доме ранее. Кроме того, собственник сразу видит, где копятся его средства на капитальный ремонт — у рег</w:t>
      </w:r>
      <w:r>
        <w:rPr>
          <w:rFonts w:ascii="Times New Roman" w:hAnsi="Times New Roman" w:cs="Times New Roman"/>
          <w:sz w:val="24"/>
          <w:szCs w:val="24"/>
        </w:rPr>
        <w:t xml:space="preserve">ионального оператора или на специальном счете. </w:t>
      </w:r>
    </w:p>
    <w:p w:rsidR="00351B37" w:rsidRDefault="00ED515F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Информационные сообщения</w:t>
      </w:r>
    </w:p>
    <w:p w:rsidR="00351B37" w:rsidRDefault="00ED515F">
      <w:pPr>
        <w:jc w:val="both"/>
        <w:rPr>
          <w:rFonts w:ascii="Times New Roman" w:hAnsi="Times New Roman" w:cs="Times New Roman"/>
          <w:b/>
          <w:bCs/>
          <w:i/>
          <w:sz w:val="16"/>
          <w:szCs w:val="16"/>
        </w:rPr>
      </w:pPr>
      <w:r>
        <w:rPr>
          <w:rFonts w:ascii="Times New Roman" w:hAnsi="Times New Roman" w:cs="Times New Roman"/>
          <w:sz w:val="24"/>
          <w:szCs w:val="24"/>
        </w:rPr>
        <w:t>С помощью раздела информационных сообщений управляющая организация может оперативно информировать жителей о важных новостях, например, о плановом отключении ресурсов или ожидаемой убо</w:t>
      </w:r>
      <w:r>
        <w:rPr>
          <w:rFonts w:ascii="Times New Roman" w:hAnsi="Times New Roman" w:cs="Times New Roman"/>
          <w:sz w:val="24"/>
          <w:szCs w:val="24"/>
        </w:rPr>
        <w:t>рке снега с крыш. Это электронный аналог информационного стенда в подъезде.  Кроме того, в нем публикуется полезная информация для собственников, повышающая уровень знаний о сфере ЖКХ. Жильцы изучают свои права и обязанности в многоквартирном доме, узнают,</w:t>
      </w:r>
      <w:r>
        <w:rPr>
          <w:rFonts w:ascii="Times New Roman" w:hAnsi="Times New Roman" w:cs="Times New Roman"/>
          <w:sz w:val="24"/>
          <w:szCs w:val="24"/>
        </w:rPr>
        <w:t xml:space="preserve"> как экономить ресурсы и меньше платить за жилищно-коммунальные услуги, получают советы по ремонту. </w:t>
      </w:r>
    </w:p>
    <w:sectPr w:rsidR="00351B3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D515F" w:rsidRDefault="00ED515F">
      <w:pPr>
        <w:spacing w:after="0" w:line="240" w:lineRule="auto"/>
      </w:pPr>
      <w:r>
        <w:separator/>
      </w:r>
    </w:p>
  </w:endnote>
  <w:endnote w:type="continuationSeparator" w:id="0">
    <w:p w:rsidR="00ED515F" w:rsidRDefault="00ED515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D515F" w:rsidRDefault="00ED515F">
      <w:pPr>
        <w:spacing w:after="0" w:line="240" w:lineRule="auto"/>
      </w:pPr>
      <w:r>
        <w:separator/>
      </w:r>
    </w:p>
  </w:footnote>
  <w:footnote w:type="continuationSeparator" w:id="0">
    <w:p w:rsidR="00ED515F" w:rsidRDefault="00ED515F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51B37"/>
    <w:rsid w:val="00351B37"/>
    <w:rsid w:val="00AA0A24"/>
    <w:rsid w:val="00ED51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D3F1F57-ECD1-4E43-A786-2736631824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 w:after="20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0">
    <w:name w:val="Заголовок 1 Знак"/>
    <w:basedOn w:val="a0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List Paragraph"/>
    <w:basedOn w:val="a"/>
    <w:uiPriority w:val="34"/>
    <w:qFormat/>
    <w:pPr>
      <w:ind w:left="720"/>
      <w:contextualSpacing/>
    </w:pPr>
  </w:style>
  <w:style w:type="paragraph" w:styleId="a4">
    <w:name w:val="No Spacing"/>
    <w:uiPriority w:val="1"/>
    <w:qFormat/>
    <w:pPr>
      <w:spacing w:after="0" w:line="240" w:lineRule="auto"/>
    </w:p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paragraph" w:styleId="a5">
    <w:name w:val="Subtitle"/>
    <w:basedOn w:val="a"/>
    <w:next w:val="a"/>
    <w:link w:val="a6"/>
    <w:uiPriority w:val="11"/>
    <w:qFormat/>
    <w:pPr>
      <w:spacing w:before="200" w:after="200"/>
    </w:pPr>
    <w:rPr>
      <w:sz w:val="24"/>
      <w:szCs w:val="24"/>
    </w:rPr>
  </w:style>
  <w:style w:type="character" w:customStyle="1" w:styleId="a6">
    <w:name w:val="Подзаголовок Знак"/>
    <w:basedOn w:val="a0"/>
    <w:link w:val="a5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7">
    <w:name w:val="Intense Quote"/>
    <w:basedOn w:val="a"/>
    <w:next w:val="a"/>
    <w:link w:val="a8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8">
    <w:name w:val="Выделенная цитата Знак"/>
    <w:link w:val="a7"/>
    <w:uiPriority w:val="30"/>
    <w:rPr>
      <w:i/>
    </w:rPr>
  </w:style>
  <w:style w:type="paragraph" w:styleId="a9">
    <w:name w:val="header"/>
    <w:basedOn w:val="a"/>
    <w:link w:val="aa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</w:style>
  <w:style w:type="paragraph" w:styleId="ab">
    <w:name w:val="footer"/>
    <w:basedOn w:val="a"/>
    <w:link w:val="ac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d">
    <w:name w:val="caption"/>
    <w:basedOn w:val="a"/>
    <w:next w:val="a"/>
    <w:uiPriority w:val="35"/>
    <w:semiHidden/>
    <w:unhideWhenUsed/>
    <w:qFormat/>
    <w:pPr>
      <w:spacing w:line="276" w:lineRule="auto"/>
    </w:pPr>
    <w:rPr>
      <w:b/>
      <w:bCs/>
      <w:color w:val="4472C4" w:themeColor="accent1"/>
      <w:sz w:val="18"/>
      <w:szCs w:val="18"/>
    </w:rPr>
  </w:style>
  <w:style w:type="character" w:customStyle="1" w:styleId="ac">
    <w:name w:val="Нижний колонтитул Знак"/>
    <w:link w:val="ab"/>
    <w:uiPriority w:val="99"/>
  </w:style>
  <w:style w:type="table" w:styleId="ae">
    <w:name w:val="Table Grid"/>
    <w:basedOn w:val="a1"/>
    <w:uiPriority w:val="59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11">
    <w:name w:val="Plain Table 1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23">
    <w:name w:val="Plain Table 2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41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51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-1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3C5E7" w:themeColor="accent1" w:themeTint="67"/>
        <w:left w:val="single" w:sz="4" w:space="0" w:color="B3C5E7" w:themeColor="accent1" w:themeTint="67"/>
        <w:bottom w:val="single" w:sz="4" w:space="0" w:color="B3C5E7" w:themeColor="accent1" w:themeTint="67"/>
        <w:right w:val="single" w:sz="4" w:space="0" w:color="B3C5E7" w:themeColor="accent1" w:themeTint="67"/>
        <w:insideH w:val="single" w:sz="4" w:space="0" w:color="B3C5E7" w:themeColor="accent1" w:themeTint="67"/>
        <w:insideV w:val="single" w:sz="4" w:space="0" w:color="B3C5E7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1ACDC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1" w:themeTint="67"/>
          <w:left w:val="single" w:sz="4" w:space="0" w:color="B3C5E7" w:themeColor="accent1" w:themeTint="67"/>
          <w:bottom w:val="single" w:sz="4" w:space="0" w:color="B3C5E7" w:themeColor="accent1" w:themeTint="67"/>
          <w:right w:val="single" w:sz="4" w:space="0" w:color="B3C5E7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4B28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ACACA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FDA6A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CD6EE" w:themeColor="accent5" w:themeTint="67"/>
        <w:left w:val="single" w:sz="4" w:space="0" w:color="BCD6EE" w:themeColor="accent5" w:themeTint="67"/>
        <w:bottom w:val="single" w:sz="4" w:space="0" w:color="BCD6EE" w:themeColor="accent5" w:themeTint="67"/>
        <w:right w:val="single" w:sz="4" w:space="0" w:color="BCD6EE" w:themeColor="accent5" w:themeTint="67"/>
        <w:insideH w:val="single" w:sz="4" w:space="0" w:color="BCD6EE" w:themeColor="accent5" w:themeTint="67"/>
        <w:insideV w:val="single" w:sz="4" w:space="0" w:color="BCD6EE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EC4E6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5" w:themeTint="67"/>
          <w:left w:val="single" w:sz="4" w:space="0" w:color="BCD6EE" w:themeColor="accent5" w:themeTint="67"/>
          <w:bottom w:val="single" w:sz="4" w:space="0" w:color="BCD6EE" w:themeColor="accent5" w:themeTint="67"/>
          <w:right w:val="single" w:sz="4" w:space="0" w:color="BCD6EE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AAD190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table" w:styleId="-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37DC8" w:themeColor="accent1" w:themeTint="EA"/>
        <w:insideH w:val="single" w:sz="4" w:space="0" w:color="537DC8" w:themeColor="accent1" w:themeTint="EA"/>
        <w:insideV w:val="single" w:sz="4" w:space="0" w:color="537DC8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37DC8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37DC8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1" w:themeTint="34" w:fill="D8E2F3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1" w:themeTint="34" w:fill="D8E2F3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4B184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A5A5A5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FD865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B9BD5" w:themeColor="accent5"/>
        <w:insideH w:val="single" w:sz="4" w:space="0" w:color="5B9BD5" w:themeColor="accent5"/>
        <w:insideV w:val="single" w:sz="4" w:space="0" w:color="5B9BD5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B9BD5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70AD47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styleId="-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37DC8" w:themeColor="accent1" w:themeTint="EA"/>
        <w:insideH w:val="single" w:sz="4" w:space="0" w:color="537DC8" w:themeColor="accent1" w:themeTint="EA"/>
        <w:insideV w:val="single" w:sz="4" w:space="0" w:color="537DC8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1" w:themeTint="34" w:fill="D8E2F3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1" w:themeTint="34" w:fill="D8E2F3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B9BD5" w:themeColor="accent5"/>
        <w:insideH w:val="single" w:sz="4" w:space="0" w:color="5B9BD5" w:themeColor="accent5"/>
        <w:insideV w:val="single" w:sz="4" w:space="0" w:color="5B9BD5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styleId="-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5AFDD" w:themeColor="accent1" w:themeTint="90"/>
        <w:left w:val="single" w:sz="4" w:space="0" w:color="95AFDD" w:themeColor="accent1" w:themeTint="90"/>
        <w:bottom w:val="single" w:sz="4" w:space="0" w:color="95AFDD" w:themeColor="accent1" w:themeTint="90"/>
        <w:right w:val="single" w:sz="4" w:space="0" w:color="95AFDD" w:themeColor="accent1" w:themeTint="90"/>
        <w:insideH w:val="single" w:sz="4" w:space="0" w:color="95AFDD" w:themeColor="accent1" w:themeTint="90"/>
        <w:insideV w:val="single" w:sz="4" w:space="0" w:color="95AFDD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37DC8" w:themeColor="accent1" w:themeTint="EA"/>
          <w:left w:val="single" w:sz="4" w:space="0" w:color="537DC8" w:themeColor="accent1" w:themeTint="EA"/>
          <w:bottom w:val="single" w:sz="4" w:space="0" w:color="537DC8" w:themeColor="accent1" w:themeTint="EA"/>
          <w:right w:val="single" w:sz="4" w:space="0" w:color="537DC8" w:themeColor="accent1" w:themeTint="EA"/>
        </w:tcBorders>
        <w:shd w:val="clear" w:color="537DC8" w:themeColor="accent1" w:themeTint="EA" w:fill="537DC8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37DC8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3F3" w:themeColor="accent1" w:themeTint="32" w:fill="DAE3F3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3F3" w:themeColor="accent1" w:themeTint="32" w:fill="DAE3F3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  <w:insideV w:val="single" w:sz="4" w:space="0" w:color="F4B58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4B184" w:themeColor="accent2" w:themeTint="97"/>
          <w:left w:val="single" w:sz="4" w:space="0" w:color="F4B184" w:themeColor="accent2" w:themeTint="97"/>
          <w:bottom w:val="single" w:sz="4" w:space="0" w:color="F4B184" w:themeColor="accent2" w:themeTint="97"/>
          <w:right w:val="single" w:sz="4" w:space="0" w:color="F4B184" w:themeColor="accent2" w:themeTint="97"/>
        </w:tcBorders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  <w:insideV w:val="single" w:sz="4" w:space="0" w:color="CCCCCC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A5A5A5" w:themeColor="accent3" w:themeTint="FE"/>
          <w:left w:val="single" w:sz="4" w:space="0" w:color="A5A5A5" w:themeColor="accent3" w:themeTint="FE"/>
          <w:bottom w:val="single" w:sz="4" w:space="0" w:color="A5A5A5" w:themeColor="accent3" w:themeTint="FE"/>
          <w:right w:val="single" w:sz="4" w:space="0" w:color="A5A5A5" w:themeColor="accent3" w:themeTint="FE"/>
        </w:tcBorders>
        <w:shd w:val="clear" w:color="A5A5A5" w:themeColor="accent3" w:themeTint="FE" w:fill="A5A5A5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  <w:insideV w:val="single" w:sz="4" w:space="0" w:color="FFDB6F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D865" w:themeColor="accent4" w:themeTint="9A"/>
          <w:left w:val="single" w:sz="4" w:space="0" w:color="FFD865" w:themeColor="accent4" w:themeTint="9A"/>
          <w:bottom w:val="single" w:sz="4" w:space="0" w:color="FFD865" w:themeColor="accent4" w:themeTint="9A"/>
          <w:right w:val="single" w:sz="4" w:space="0" w:color="FFD865" w:themeColor="accent4" w:themeTint="9A"/>
        </w:tcBorders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A2C6E7" w:themeColor="accent5" w:themeTint="90"/>
        <w:left w:val="single" w:sz="4" w:space="0" w:color="A2C6E7" w:themeColor="accent5" w:themeTint="90"/>
        <w:bottom w:val="single" w:sz="4" w:space="0" w:color="A2C6E7" w:themeColor="accent5" w:themeTint="90"/>
        <w:right w:val="single" w:sz="4" w:space="0" w:color="A2C6E7" w:themeColor="accent5" w:themeTint="90"/>
        <w:insideH w:val="single" w:sz="4" w:space="0" w:color="A2C6E7" w:themeColor="accent5" w:themeTint="90"/>
        <w:insideV w:val="single" w:sz="4" w:space="0" w:color="A2C6E7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B9BD5" w:themeColor="accent5"/>
          <w:left w:val="single" w:sz="4" w:space="0" w:color="5B9BD5" w:themeColor="accent5"/>
          <w:bottom w:val="single" w:sz="4" w:space="0" w:color="5B9BD5" w:themeColor="accent5"/>
          <w:right w:val="single" w:sz="4" w:space="0" w:color="5B9BD5" w:themeColor="accent5"/>
        </w:tcBorders>
        <w:shd w:val="clear" w:color="5B9BD5" w:themeColor="accent5" w:fill="5B9BD5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</w:tcBorders>
        <w:shd w:val="clear" w:color="70AD47" w:themeColor="accent6" w:fill="70AD47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styleId="-5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8E2F3" w:themeColor="accent1" w:themeTint="34" w:fill="D8E2F3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1" w:fill="4472C4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472C4" w:themeColor="accent1" w:fill="4472C4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472C4" w:themeColor="accent1" w:fill="4472C4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472C4" w:themeColor="accent1" w:fill="4472C4" w:themeFill="accent1"/>
      </w:tcPr>
    </w:tblStylePr>
    <w:tblStylePr w:type="band1Vert">
      <w:tblPr/>
      <w:tcPr>
        <w:shd w:val="clear" w:color="A9BEE4" w:themeColor="accent1" w:themeTint="75" w:fill="A9BEE4" w:themeFill="accent1" w:themeFillTint="75"/>
      </w:tcPr>
    </w:tblStylePr>
    <w:tblStylePr w:type="band1Horz">
      <w:tblPr/>
      <w:tcPr>
        <w:shd w:val="clear" w:color="A9BEE4" w:themeColor="accent1" w:themeTint="75" w:fill="A9BEE4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BE5D6" w:themeColor="accent2" w:themeTint="32" w:fill="FBE5D6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ED7D31" w:themeColor="accent2" w:fill="ED7D31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band1Vert">
      <w:tblPr/>
      <w:tcPr>
        <w:shd w:val="clear" w:color="F6C3A0" w:themeColor="accent2" w:themeTint="75" w:fill="F6C3A0" w:themeFill="accent2" w:themeFillTint="75"/>
      </w:tcPr>
    </w:tblStylePr>
    <w:tblStylePr w:type="band1Horz">
      <w:tblPr/>
      <w:tcPr>
        <w:shd w:val="clear" w:color="F6C3A0" w:themeColor="accent2" w:themeTint="75" w:fill="F6C3A0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CECEC" w:themeColor="accent3" w:themeTint="34" w:fill="ECECE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5A5A5" w:themeColor="accent3" w:fill="A5A5A5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band1Vert">
      <w:tblPr/>
      <w:tcPr>
        <w:shd w:val="clear" w:color="D5D5D5" w:themeColor="accent3" w:themeTint="75" w:fill="D5D5D5" w:themeFill="accent3" w:themeFillTint="75"/>
      </w:tcPr>
    </w:tblStylePr>
    <w:tblStylePr w:type="band1Horz">
      <w:tblPr/>
      <w:tcPr>
        <w:shd w:val="clear" w:color="D5D5D5" w:themeColor="accent3" w:themeTint="75" w:fill="D5D5D5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2CB" w:themeColor="accent4" w:themeTint="34" w:fill="FFF2CB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C000" w:themeColor="accent4" w:fill="FFC000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band1Vert">
      <w:tblPr/>
      <w:tcPr>
        <w:shd w:val="clear" w:color="FFE28A" w:themeColor="accent4" w:themeTint="75" w:fill="FFE28A" w:themeFill="accent4" w:themeFillTint="75"/>
      </w:tcPr>
    </w:tblStylePr>
    <w:tblStylePr w:type="band1Horz">
      <w:tblPr/>
      <w:tcPr>
        <w:shd w:val="clear" w:color="FFE28A" w:themeColor="accent4" w:themeTint="75" w:fill="FFE28A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DEAF6" w:themeColor="accent5" w:themeTint="34" w:fill="DDEAF6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5" w:fill="5B9BD5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5B9BD5" w:themeColor="accent5" w:fill="5B9BD5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5B9BD5" w:themeColor="accent5" w:fill="5B9BD5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5B9BD5" w:themeColor="accent5" w:fill="5B9BD5" w:themeFill="accent5"/>
      </w:tcPr>
    </w:tblStylePr>
    <w:tblStylePr w:type="band1Vert">
      <w:tblPr/>
      <w:tcPr>
        <w:shd w:val="clear" w:color="B3D0EB" w:themeColor="accent5" w:themeTint="75" w:fill="B3D0EB" w:themeFill="accent5" w:themeFillTint="75"/>
      </w:tcPr>
    </w:tblStylePr>
    <w:tblStylePr w:type="band1Horz">
      <w:tblPr/>
      <w:tcPr>
        <w:shd w:val="clear" w:color="B3D0EB" w:themeColor="accent5" w:themeTint="75" w:fill="B3D0EB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1EFD8" w:themeColor="accent6" w:themeTint="34" w:fill="E1EF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70AD47" w:themeColor="accent6" w:fill="70AD47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band1Vert">
      <w:tblPr/>
      <w:tcPr>
        <w:shd w:val="clear" w:color="BCDBA8" w:themeColor="accent6" w:themeTint="75" w:fill="BCDBA8" w:themeFill="accent6" w:themeFillTint="75"/>
      </w:tcPr>
    </w:tblStylePr>
    <w:tblStylePr w:type="band1Horz">
      <w:tblPr/>
      <w:tcPr>
        <w:shd w:val="clear" w:color="BCDBA8" w:themeColor="accent6" w:themeTint="75" w:fill="BCDBA8" w:themeFill="accent6" w:themeFillTint="75"/>
      </w:tcPr>
    </w:tblStylePr>
  </w:style>
  <w:style w:type="table" w:styleId="-6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0B7E1" w:themeColor="accent1" w:themeTint="80"/>
        <w:left w:val="single" w:sz="4" w:space="0" w:color="A0B7E1" w:themeColor="accent1" w:themeTint="80"/>
        <w:bottom w:val="single" w:sz="4" w:space="0" w:color="A0B7E1" w:themeColor="accent1" w:themeTint="80"/>
        <w:right w:val="single" w:sz="4" w:space="0" w:color="A0B7E1" w:themeColor="accent1" w:themeTint="80"/>
        <w:insideH w:val="single" w:sz="4" w:space="0" w:color="A0B7E1" w:themeColor="accent1" w:themeTint="80"/>
        <w:insideV w:val="single" w:sz="4" w:space="0" w:color="A0B7E1" w:themeColor="accent1" w:themeTint="80"/>
      </w:tblBorders>
    </w:tblPr>
    <w:tblStylePr w:type="firstRow">
      <w:rPr>
        <w:b/>
        <w:color w:val="A0B7E1" w:themeColor="accent1" w:themeTint="80" w:themeShade="95"/>
      </w:rPr>
      <w:tblPr/>
      <w:tcPr>
        <w:tcBorders>
          <w:bottom w:val="single" w:sz="12" w:space="0" w:color="A0B7E1" w:themeColor="accent1" w:themeTint="80"/>
        </w:tcBorders>
      </w:tcPr>
    </w:tblStylePr>
    <w:tblStylePr w:type="lastRow">
      <w:rPr>
        <w:b/>
        <w:color w:val="A0B7E1" w:themeColor="accent1" w:themeTint="80" w:themeShade="95"/>
      </w:rPr>
    </w:tblStylePr>
    <w:tblStylePr w:type="firstCol">
      <w:rPr>
        <w:b/>
        <w:color w:val="A0B7E1" w:themeColor="accent1" w:themeTint="80" w:themeShade="95"/>
      </w:rPr>
    </w:tblStylePr>
    <w:tblStylePr w:type="lastCol">
      <w:rPr>
        <w:b/>
        <w:color w:val="A0B7E1" w:themeColor="accent1" w:themeTint="80" w:themeShade="95"/>
      </w:rPr>
    </w:tblStylePr>
    <w:tblStylePr w:type="band1Vert">
      <w:tblPr/>
      <w:tcPr>
        <w:shd w:val="clear" w:color="D8E2F3" w:themeColor="accent1" w:themeTint="34" w:fill="D8E2F3" w:themeFill="accent1" w:themeFillTint="34"/>
      </w:tcPr>
    </w:tblStylePr>
    <w:tblStylePr w:type="band1Horz">
      <w:rPr>
        <w:rFonts w:ascii="Arial" w:hAnsi="Arial"/>
        <w:color w:val="A0B7E1" w:themeColor="accent1" w:themeTint="80" w:themeShade="95"/>
        <w:sz w:val="22"/>
      </w:rPr>
      <w:tblPr/>
      <w:tcPr>
        <w:shd w:val="clear" w:color="D8E2F3" w:themeColor="accent1" w:themeTint="34" w:fill="D8E2F3" w:themeFill="accent1" w:themeFillTint="34"/>
      </w:tcPr>
    </w:tblStylePr>
    <w:tblStylePr w:type="band2Horz">
      <w:rPr>
        <w:rFonts w:ascii="Arial" w:hAnsi="Arial"/>
        <w:color w:val="A0B7E1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5A5A5" w:themeColor="accent3" w:themeTint="FE"/>
        <w:left w:val="single" w:sz="4" w:space="0" w:color="A5A5A5" w:themeColor="accent3" w:themeTint="FE"/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A5A5A5" w:themeColor="accent3" w:themeTint="FE" w:themeShade="95"/>
      </w:rPr>
      <w:tblPr/>
      <w:tcPr>
        <w:tcBorders>
          <w:bottom w:val="single" w:sz="12" w:space="0" w:color="A5A5A5" w:themeColor="accent3" w:themeTint="FE"/>
        </w:tcBorders>
      </w:tcPr>
    </w:tblStylePr>
    <w:tblStylePr w:type="lastRow">
      <w:rPr>
        <w:b/>
        <w:color w:val="A5A5A5" w:themeColor="accent3" w:themeTint="FE" w:themeShade="95"/>
      </w:rPr>
    </w:tblStylePr>
    <w:tblStylePr w:type="firstCol">
      <w:rPr>
        <w:b/>
        <w:color w:val="A5A5A5" w:themeColor="accent3" w:themeTint="FE" w:themeShade="95"/>
      </w:rPr>
    </w:tblStylePr>
    <w:tblStylePr w:type="lastCol">
      <w:rPr>
        <w:b/>
        <w:color w:val="A5A5A5" w:themeColor="accent3" w:themeTint="FE" w:themeShade="95"/>
      </w:r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5B9BD5" w:themeColor="accent5"/>
        <w:left w:val="single" w:sz="4" w:space="0" w:color="5B9BD5" w:themeColor="accent5"/>
        <w:bottom w:val="single" w:sz="4" w:space="0" w:color="5B9BD5" w:themeColor="accent5"/>
        <w:right w:val="single" w:sz="4" w:space="0" w:color="5B9BD5" w:themeColor="accent5"/>
        <w:insideH w:val="single" w:sz="4" w:space="0" w:color="5B9BD5" w:themeColor="accent5"/>
        <w:insideV w:val="single" w:sz="4" w:space="0" w:color="5B9BD5" w:themeColor="accent5"/>
      </w:tblBorders>
    </w:tblPr>
    <w:tblStylePr w:type="firstRow">
      <w:rPr>
        <w:b/>
        <w:color w:val="245A8D" w:themeColor="accent5" w:themeShade="95"/>
      </w:rPr>
      <w:tblPr/>
      <w:tcPr>
        <w:tcBorders>
          <w:bottom w:val="single" w:sz="12" w:space="0" w:color="5B9BD5" w:themeColor="accent5"/>
        </w:tcBorders>
      </w:tcPr>
    </w:tblStylePr>
    <w:tblStylePr w:type="lastRow">
      <w:rPr>
        <w:b/>
        <w:color w:val="245A8D" w:themeColor="accent5" w:themeShade="95"/>
      </w:rPr>
    </w:tblStylePr>
    <w:tblStylePr w:type="firstCol">
      <w:rPr>
        <w:b/>
        <w:color w:val="245A8D" w:themeColor="accent5" w:themeShade="95"/>
      </w:rPr>
    </w:tblStylePr>
    <w:tblStylePr w:type="lastCol">
      <w:rPr>
        <w:b/>
        <w:color w:val="245A8D" w:themeColor="accent5" w:themeShade="95"/>
      </w:rPr>
    </w:tblStylePr>
    <w:tblStylePr w:type="band1Vert"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245A8D" w:themeColor="accent5" w:themeShade="95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2Horz">
      <w:rPr>
        <w:rFonts w:ascii="Arial" w:hAnsi="Arial"/>
        <w:color w:val="245A8D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0AD47" w:themeColor="accent6"/>
        <w:left w:val="single" w:sz="4" w:space="0" w:color="70AD47" w:themeColor="accent6"/>
        <w:bottom w:val="single" w:sz="4" w:space="0" w:color="70AD47" w:themeColor="accent6"/>
        <w:right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245A8D" w:themeColor="accent5" w:themeShade="95"/>
      </w:rPr>
      <w:tblPr/>
      <w:tcPr>
        <w:tcBorders>
          <w:bottom w:val="single" w:sz="12" w:space="0" w:color="70AD47" w:themeColor="accent6"/>
        </w:tcBorders>
      </w:tcPr>
    </w:tblStylePr>
    <w:tblStylePr w:type="lastRow">
      <w:rPr>
        <w:b/>
        <w:color w:val="245A8D" w:themeColor="accent5" w:themeShade="95"/>
      </w:rPr>
    </w:tblStylePr>
    <w:tblStylePr w:type="firstCol">
      <w:rPr>
        <w:b/>
        <w:color w:val="245A8D" w:themeColor="accent5" w:themeShade="95"/>
      </w:rPr>
    </w:tblStylePr>
    <w:tblStylePr w:type="lastCol">
      <w:rPr>
        <w:b/>
        <w:color w:val="245A8D" w:themeColor="accent5" w:themeShade="95"/>
      </w:r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245A8D" w:themeColor="accent5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245A8D" w:themeColor="accent5" w:themeShade="95"/>
        <w:sz w:val="22"/>
      </w:rPr>
    </w:tblStylePr>
  </w:style>
  <w:style w:type="table" w:styleId="-7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0B7E1" w:themeColor="accent1" w:themeTint="80"/>
        <w:right w:val="single" w:sz="4" w:space="0" w:color="A0B7E1" w:themeColor="accent1" w:themeTint="80"/>
        <w:insideH w:val="single" w:sz="4" w:space="0" w:color="A0B7E1" w:themeColor="accent1" w:themeTint="80"/>
        <w:insideV w:val="single" w:sz="4" w:space="0" w:color="A0B7E1" w:themeColor="accent1" w:themeTint="80"/>
      </w:tblBorders>
    </w:tblPr>
    <w:tblStylePr w:type="firstRow">
      <w:rPr>
        <w:rFonts w:ascii="Arial" w:hAnsi="Arial"/>
        <w:b/>
        <w:color w:val="A0B7E1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A0B7E1" w:themeColor="accen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0B7E1" w:themeColor="accent1" w:themeTint="80" w:themeShade="95"/>
        <w:sz w:val="22"/>
      </w:rPr>
      <w:tblPr/>
      <w:tcPr>
        <w:tcBorders>
          <w:top w:val="single" w:sz="4" w:space="0" w:color="A0B7E1" w:themeColor="accen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0B7E1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A0B7E1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0B7E1" w:themeColor="accent1" w:themeTint="80" w:themeShade="95"/>
        <w:sz w:val="22"/>
      </w:rPr>
      <w:tblPr/>
      <w:tcPr>
        <w:tcBorders>
          <w:top w:val="none" w:sz="0" w:space="0" w:color="000000"/>
          <w:left w:val="single" w:sz="4" w:space="0" w:color="A0B7E1" w:themeColor="accen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8E2F3" w:themeColor="accent1" w:themeTint="34" w:fill="D8E2F3" w:themeFill="accent1" w:themeFillTint="34"/>
      </w:tcPr>
    </w:tblStylePr>
    <w:tblStylePr w:type="band1Horz">
      <w:rPr>
        <w:rFonts w:ascii="Arial" w:hAnsi="Arial"/>
        <w:color w:val="A0B7E1" w:themeColor="accent1" w:themeTint="80" w:themeShade="95"/>
        <w:sz w:val="22"/>
      </w:rPr>
      <w:tblPr/>
      <w:tcPr>
        <w:shd w:val="clear" w:color="D8E2F3" w:themeColor="accent1" w:themeTint="34" w:fill="D8E2F3" w:themeFill="accent1" w:themeFillTint="34"/>
      </w:tcPr>
    </w:tblStylePr>
    <w:tblStylePr w:type="band2Horz">
      <w:rPr>
        <w:rFonts w:ascii="Arial" w:hAnsi="Arial"/>
        <w:color w:val="A0B7E1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4B184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F4B184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A5A5A5" w:themeColor="accent3" w:themeTint="FE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single" w:sz="4" w:space="0" w:color="A5A5A5" w:themeColor="accent3" w:themeTint="FE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A5A5A5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0" w:space="0" w:color="000000"/>
          <w:left w:val="single" w:sz="4" w:space="0" w:color="A5A5A5" w:themeColor="accent3" w:themeTint="FE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FD865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FFD865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2C6E7" w:themeColor="accent5" w:themeTint="90"/>
        <w:right w:val="single" w:sz="4" w:space="0" w:color="A2C6E7" w:themeColor="accent5" w:themeTint="90"/>
        <w:insideH w:val="single" w:sz="4" w:space="0" w:color="A2C6E7" w:themeColor="accent5" w:themeTint="90"/>
        <w:insideV w:val="single" w:sz="4" w:space="0" w:color="A2C6E7" w:themeColor="accent5" w:themeTint="90"/>
      </w:tblBorders>
    </w:tblPr>
    <w:tblStylePr w:type="firstRow">
      <w:rPr>
        <w:rFonts w:ascii="Arial" w:hAnsi="Arial"/>
        <w:b/>
        <w:color w:val="245A8D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A2C6E7" w:themeColor="accent5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45A8D" w:themeColor="accent5" w:themeShade="95"/>
        <w:sz w:val="22"/>
      </w:rPr>
      <w:tblPr/>
      <w:tcPr>
        <w:tcBorders>
          <w:top w:val="single" w:sz="4" w:space="0" w:color="A2C6E7" w:themeColor="accent5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45A8D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A2C6E7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45A8D" w:themeColor="accent5" w:themeShade="95"/>
        <w:sz w:val="22"/>
      </w:rPr>
      <w:tblPr/>
      <w:tcPr>
        <w:tcBorders>
          <w:top w:val="none" w:sz="0" w:space="0" w:color="000000"/>
          <w:left w:val="single" w:sz="4" w:space="0" w:color="A2C6E7" w:themeColor="accent5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245A8D" w:themeColor="accent5" w:themeShade="95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2Horz">
      <w:rPr>
        <w:rFonts w:ascii="Arial" w:hAnsi="Arial"/>
        <w:color w:val="245A8D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</w:tblPr>
    <w:tblStylePr w:type="fir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ADD394" w:themeColor="accent6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single" w:sz="4" w:space="0" w:color="ADD394" w:themeColor="accent6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ADD394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0" w:space="0" w:color="000000"/>
          <w:left w:val="single" w:sz="4" w:space="0" w:color="ADD394" w:themeColor="accent6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16429" w:themeColor="accent6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416429" w:themeColor="accent6" w:themeShade="95"/>
        <w:sz w:val="22"/>
      </w:rPr>
    </w:tblStylePr>
  </w:style>
  <w:style w:type="table" w:styleId="-10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472C4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CFDBF0" w:themeColor="accent1" w:themeTint="40" w:fill="CFDBF0" w:themeFill="accent1" w:themeFillTint="40"/>
      </w:tcPr>
    </w:tblStylePr>
    <w:tblStylePr w:type="band1Horz">
      <w:tblPr/>
      <w:tcPr>
        <w:shd w:val="clear" w:color="CFDBF0" w:themeColor="accent1" w:themeTint="40" w:fill="CFDBF0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ED7D31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ED7D31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C000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FC000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5B9BD5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5E5F4" w:themeColor="accent5" w:themeTint="40" w:fill="D5E5F4" w:themeFill="accent5" w:themeFillTint="40"/>
      </w:tcPr>
    </w:tblStylePr>
    <w:tblStylePr w:type="band1Horz">
      <w:tblPr/>
      <w:tcPr>
        <w:shd w:val="clear" w:color="D5E5F4" w:themeColor="accent5" w:themeTint="40" w:fill="D5E5F4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0AD47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tblPr/>
      <w:tcPr>
        <w:shd w:val="clear" w:color="DAEBCF" w:themeColor="accent6" w:themeTint="40" w:fill="DAEBCF" w:themeFill="accent6" w:themeFillTint="40"/>
      </w:tcPr>
    </w:tblStylePr>
  </w:style>
  <w:style w:type="table" w:styleId="-20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5AFDD" w:themeColor="accent1" w:themeTint="90"/>
        <w:bottom w:val="single" w:sz="4" w:space="0" w:color="95AFDD" w:themeColor="accent1" w:themeTint="90"/>
        <w:insideH w:val="single" w:sz="4" w:space="0" w:color="95AFDD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1" w:themeTint="90"/>
          <w:left w:val="none" w:sz="4" w:space="0" w:color="000000"/>
          <w:bottom w:val="single" w:sz="4" w:space="0" w:color="95AFDD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1" w:themeTint="90"/>
          <w:left w:val="none" w:sz="4" w:space="0" w:color="000000"/>
          <w:bottom w:val="single" w:sz="4" w:space="0" w:color="95AFDD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1" w:themeTint="40" w:fill="CFDBF0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1" w:themeTint="40" w:fill="CFDBF0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58A" w:themeColor="accent2" w:themeTint="90"/>
        <w:bottom w:val="single" w:sz="4" w:space="0" w:color="F4B58A" w:themeColor="accent2" w:themeTint="90"/>
        <w:insideH w:val="single" w:sz="4" w:space="0" w:color="F4B58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CCCCC" w:themeColor="accent3" w:themeTint="90"/>
        <w:bottom w:val="single" w:sz="4" w:space="0" w:color="CCCCCC" w:themeColor="accent3" w:themeTint="90"/>
        <w:insideH w:val="single" w:sz="4" w:space="0" w:color="CCCCCC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B6F" w:themeColor="accent4" w:themeTint="90"/>
        <w:bottom w:val="single" w:sz="4" w:space="0" w:color="FFDB6F" w:themeColor="accent4" w:themeTint="90"/>
        <w:insideH w:val="single" w:sz="4" w:space="0" w:color="FFDB6F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2C6E7" w:themeColor="accent5" w:themeTint="90"/>
        <w:bottom w:val="single" w:sz="4" w:space="0" w:color="A2C6E7" w:themeColor="accent5" w:themeTint="90"/>
        <w:insideH w:val="single" w:sz="4" w:space="0" w:color="A2C6E7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5" w:themeTint="90"/>
          <w:left w:val="none" w:sz="4" w:space="0" w:color="000000"/>
          <w:bottom w:val="single" w:sz="4" w:space="0" w:color="A2C6E7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5" w:themeTint="90"/>
          <w:left w:val="none" w:sz="4" w:space="0" w:color="000000"/>
          <w:bottom w:val="single" w:sz="4" w:space="0" w:color="A2C6E7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5" w:themeTint="40" w:fill="D5E5F4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5" w:themeTint="40" w:fill="D5E5F4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DD394" w:themeColor="accent6" w:themeTint="90"/>
        <w:bottom w:val="single" w:sz="4" w:space="0" w:color="ADD394" w:themeColor="accent6" w:themeTint="90"/>
        <w:insideH w:val="single" w:sz="4" w:space="0" w:color="ADD394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styleId="-30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472C4" w:themeColor="accent1"/>
        <w:left w:val="single" w:sz="4" w:space="0" w:color="4472C4" w:themeColor="accent1"/>
        <w:bottom w:val="single" w:sz="4" w:space="0" w:color="4472C4" w:themeColor="accent1"/>
        <w:right w:val="single" w:sz="4" w:space="0" w:color="4472C4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1" w:fill="4472C4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472C4" w:themeColor="accent1"/>
          <w:right w:val="single" w:sz="4" w:space="0" w:color="4472C4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472C4" w:themeColor="accent1"/>
          <w:bottom w:val="single" w:sz="4" w:space="0" w:color="4472C4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4B184" w:themeColor="accent2" w:themeTint="97"/>
          <w:right w:val="single" w:sz="4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4B184" w:themeColor="accent2" w:themeTint="97"/>
          <w:bottom w:val="single" w:sz="4" w:space="0" w:color="F4B184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9C9C9" w:themeColor="accent3" w:themeTint="98"/>
        <w:left w:val="single" w:sz="4" w:space="0" w:color="C9C9C9" w:themeColor="accent3" w:themeTint="98"/>
        <w:bottom w:val="single" w:sz="4" w:space="0" w:color="C9C9C9" w:themeColor="accent3" w:themeTint="98"/>
        <w:right w:val="single" w:sz="4" w:space="0" w:color="C9C9C9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9C9C9" w:themeColor="accent3" w:themeTint="98" w:fill="C9C9C9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9C9C9" w:themeColor="accent3" w:themeTint="98"/>
          <w:right w:val="single" w:sz="4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9C9C9" w:themeColor="accent3" w:themeTint="98"/>
          <w:bottom w:val="single" w:sz="4" w:space="0" w:color="C9C9C9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FD865" w:themeColor="accent4" w:themeTint="9A"/>
          <w:right w:val="single" w:sz="4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D865" w:themeColor="accent4" w:themeTint="9A"/>
          <w:bottom w:val="single" w:sz="4" w:space="0" w:color="FFD865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C2E5" w:themeColor="accent5" w:themeTint="9A"/>
        <w:left w:val="single" w:sz="4" w:space="0" w:color="9BC2E5" w:themeColor="accent5" w:themeTint="9A"/>
        <w:bottom w:val="single" w:sz="4" w:space="0" w:color="9BC2E5" w:themeColor="accent5" w:themeTint="9A"/>
        <w:right w:val="single" w:sz="4" w:space="0" w:color="9BC2E5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C2E5" w:themeColor="accent5" w:themeTint="9A" w:fill="9BC2E5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BC2E5" w:themeColor="accent5" w:themeTint="9A"/>
          <w:right w:val="single" w:sz="4" w:space="0" w:color="9BC2E5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BC2E5" w:themeColor="accent5" w:themeTint="9A"/>
          <w:bottom w:val="single" w:sz="4" w:space="0" w:color="9BC2E5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9D08E" w:themeColor="accent6" w:themeTint="98"/>
        <w:left w:val="single" w:sz="4" w:space="0" w:color="A9D08E" w:themeColor="accent6" w:themeTint="98"/>
        <w:bottom w:val="single" w:sz="4" w:space="0" w:color="A9D08E" w:themeColor="accent6" w:themeTint="98"/>
        <w:right w:val="single" w:sz="4" w:space="0" w:color="A9D08E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9D08E" w:themeColor="accent6" w:themeTint="98" w:fill="A9D08E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A9D08E" w:themeColor="accent6" w:themeTint="98"/>
          <w:right w:val="single" w:sz="4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A9D08E" w:themeColor="accent6" w:themeTint="98"/>
          <w:bottom w:val="single" w:sz="4" w:space="0" w:color="A9D08E" w:themeColor="accent6" w:themeTint="98"/>
        </w:tcBorders>
      </w:tcPr>
    </w:tblStylePr>
  </w:style>
  <w:style w:type="table" w:styleId="-40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5AFDD" w:themeColor="accent1" w:themeTint="90"/>
        <w:left w:val="single" w:sz="4" w:space="0" w:color="95AFDD" w:themeColor="accent1" w:themeTint="90"/>
        <w:bottom w:val="single" w:sz="4" w:space="0" w:color="95AFDD" w:themeColor="accent1" w:themeTint="90"/>
        <w:right w:val="single" w:sz="4" w:space="0" w:color="95AFDD" w:themeColor="accent1" w:themeTint="90"/>
        <w:insideH w:val="single" w:sz="4" w:space="0" w:color="95AFDD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1" w:fill="4472C4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1" w:themeTint="40" w:fill="CFDBF0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1" w:themeTint="40" w:fill="CFDBF0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2C6E7" w:themeColor="accent5" w:themeTint="90"/>
        <w:left w:val="single" w:sz="4" w:space="0" w:color="A2C6E7" w:themeColor="accent5" w:themeTint="90"/>
        <w:bottom w:val="single" w:sz="4" w:space="0" w:color="A2C6E7" w:themeColor="accent5" w:themeTint="90"/>
        <w:right w:val="single" w:sz="4" w:space="0" w:color="A2C6E7" w:themeColor="accent5" w:themeTint="90"/>
        <w:insideH w:val="single" w:sz="4" w:space="0" w:color="A2C6E7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5" w:fill="5B9BD5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5" w:themeTint="40" w:fill="D5E5F4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5" w:themeTint="40" w:fill="D5E5F4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styleId="-50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472C4" w:themeColor="accent1"/>
        <w:left w:val="single" w:sz="32" w:space="0" w:color="4472C4" w:themeColor="accent1"/>
        <w:bottom w:val="single" w:sz="32" w:space="0" w:color="4472C4" w:themeColor="accent1"/>
        <w:right w:val="single" w:sz="32" w:space="0" w:color="4472C4" w:themeColor="accent1"/>
      </w:tblBorders>
      <w:shd w:val="clear" w:color="4472C4" w:themeColor="accent1" w:fill="4472C4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472C4" w:themeColor="accent1"/>
          <w:bottom w:val="single" w:sz="12" w:space="0" w:color="FFFFFF" w:themeColor="light1"/>
        </w:tcBorders>
        <w:shd w:val="clear" w:color="4472C4" w:themeColor="accent1" w:fill="4472C4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472C4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472C4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472C4" w:themeColor="accent1" w:fill="4472C4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472C4" w:themeColor="accent1" w:fill="4472C4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472C4" w:themeColor="accent1" w:fill="4472C4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4B184" w:themeColor="accent2" w:themeTint="97"/>
        <w:left w:val="single" w:sz="32" w:space="0" w:color="F4B184" w:themeColor="accent2" w:themeTint="97"/>
        <w:bottom w:val="single" w:sz="32" w:space="0" w:color="F4B184" w:themeColor="accent2" w:themeTint="97"/>
        <w:right w:val="single" w:sz="32" w:space="0" w:color="F4B184" w:themeColor="accent2" w:themeTint="97"/>
      </w:tblBorders>
      <w:shd w:val="clear" w:color="F4B184" w:themeColor="accent2" w:themeTint="97" w:fill="F4B184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4B184" w:themeColor="accent2" w:themeTint="97"/>
          <w:bottom w:val="single" w:sz="12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4B184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4B184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9C9C9" w:themeColor="accent3" w:themeTint="98"/>
        <w:left w:val="single" w:sz="32" w:space="0" w:color="C9C9C9" w:themeColor="accent3" w:themeTint="98"/>
        <w:bottom w:val="single" w:sz="32" w:space="0" w:color="C9C9C9" w:themeColor="accent3" w:themeTint="98"/>
        <w:right w:val="single" w:sz="32" w:space="0" w:color="C9C9C9" w:themeColor="accent3" w:themeTint="98"/>
      </w:tblBorders>
      <w:shd w:val="clear" w:color="C9C9C9" w:themeColor="accent3" w:themeTint="98" w:fill="C9C9C9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9C9C9" w:themeColor="accent3" w:themeTint="98"/>
          <w:bottom w:val="single" w:sz="12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9C9C9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9C9C9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FD865" w:themeColor="accent4" w:themeTint="9A"/>
        <w:left w:val="single" w:sz="32" w:space="0" w:color="FFD865" w:themeColor="accent4" w:themeTint="9A"/>
        <w:bottom w:val="single" w:sz="32" w:space="0" w:color="FFD865" w:themeColor="accent4" w:themeTint="9A"/>
        <w:right w:val="single" w:sz="32" w:space="0" w:color="FFD865" w:themeColor="accent4" w:themeTint="9A"/>
      </w:tblBorders>
      <w:shd w:val="clear" w:color="FFD865" w:themeColor="accent4" w:themeTint="9A" w:fill="FFD865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FD865" w:themeColor="accent4" w:themeTint="9A"/>
          <w:bottom w:val="single" w:sz="12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FD865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FD865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9BC2E5" w:themeColor="accent5" w:themeTint="9A"/>
        <w:left w:val="single" w:sz="32" w:space="0" w:color="9BC2E5" w:themeColor="accent5" w:themeTint="9A"/>
        <w:bottom w:val="single" w:sz="32" w:space="0" w:color="9BC2E5" w:themeColor="accent5" w:themeTint="9A"/>
        <w:right w:val="single" w:sz="32" w:space="0" w:color="9BC2E5" w:themeColor="accent5" w:themeTint="9A"/>
      </w:tblBorders>
      <w:shd w:val="clear" w:color="9BC2E5" w:themeColor="accent5" w:themeTint="9A" w:fill="9BC2E5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BC2E5" w:themeColor="accent5" w:themeTint="9A"/>
          <w:bottom w:val="single" w:sz="12" w:space="0" w:color="FFFFFF" w:themeColor="light1"/>
        </w:tcBorders>
        <w:shd w:val="clear" w:color="9BC2E5" w:themeColor="accent5" w:themeTint="9A" w:fill="9BC2E5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BC2E5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BC2E5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BC2E5" w:themeColor="accent5" w:themeTint="9A" w:fill="9BC2E5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BC2E5" w:themeColor="accent5" w:themeTint="9A" w:fill="9BC2E5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BC2E5" w:themeColor="accent5" w:themeTint="9A" w:fill="9BC2E5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A9D08E" w:themeColor="accent6" w:themeTint="98"/>
        <w:left w:val="single" w:sz="32" w:space="0" w:color="A9D08E" w:themeColor="accent6" w:themeTint="98"/>
        <w:bottom w:val="single" w:sz="32" w:space="0" w:color="A9D08E" w:themeColor="accent6" w:themeTint="98"/>
        <w:right w:val="single" w:sz="32" w:space="0" w:color="A9D08E" w:themeColor="accent6" w:themeTint="98"/>
      </w:tblBorders>
      <w:shd w:val="clear" w:color="A9D08E" w:themeColor="accent6" w:themeTint="98" w:fill="A9D08E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A9D08E" w:themeColor="accent6" w:themeTint="98"/>
          <w:bottom w:val="single" w:sz="12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A9D08E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A9D08E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</w:style>
  <w:style w:type="table" w:styleId="-60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472C4" w:themeColor="accent1"/>
        <w:bottom w:val="single" w:sz="4" w:space="0" w:color="4472C4" w:themeColor="accent1"/>
      </w:tblBorders>
    </w:tblPr>
    <w:tblStylePr w:type="firstRow">
      <w:rPr>
        <w:b/>
        <w:color w:val="254175" w:themeColor="accent1" w:themeShade="95"/>
      </w:rPr>
      <w:tblPr/>
      <w:tcPr>
        <w:tcBorders>
          <w:bottom w:val="single" w:sz="4" w:space="0" w:color="4472C4" w:themeColor="accent1"/>
        </w:tcBorders>
      </w:tcPr>
    </w:tblStylePr>
    <w:tblStylePr w:type="lastRow">
      <w:rPr>
        <w:b/>
        <w:color w:val="254175" w:themeColor="accent1" w:themeShade="95"/>
      </w:rPr>
      <w:tblPr/>
      <w:tcPr>
        <w:tcBorders>
          <w:top w:val="single" w:sz="4" w:space="0" w:color="4472C4" w:themeColor="accent1"/>
        </w:tcBorders>
      </w:tcPr>
    </w:tblStylePr>
    <w:tblStylePr w:type="firstCol">
      <w:rPr>
        <w:b/>
        <w:color w:val="254175" w:themeColor="accent1" w:themeShade="95"/>
      </w:rPr>
    </w:tblStylePr>
    <w:tblStylePr w:type="lastCol">
      <w:rPr>
        <w:b/>
        <w:color w:val="254175" w:themeColor="accent1" w:themeShade="95"/>
      </w:rPr>
    </w:tblStylePr>
    <w:tblStylePr w:type="band1Vert">
      <w:tblPr/>
      <w:tcPr>
        <w:shd w:val="clear" w:color="CFDBF0" w:themeColor="accent1" w:themeTint="40" w:fill="CFDBF0" w:themeFill="accent1" w:themeFillTint="40"/>
      </w:tcPr>
    </w:tblStylePr>
    <w:tblStylePr w:type="band1Horz">
      <w:rPr>
        <w:rFonts w:ascii="Arial" w:hAnsi="Arial"/>
        <w:color w:val="254175" w:themeColor="accent1" w:themeShade="95"/>
        <w:sz w:val="22"/>
      </w:rPr>
      <w:tblPr/>
      <w:tcPr>
        <w:shd w:val="clear" w:color="CFDBF0" w:themeColor="accent1" w:themeTint="40" w:fill="CFDBF0" w:themeFill="accent1" w:themeFillTint="40"/>
      </w:tcPr>
    </w:tblStylePr>
    <w:tblStylePr w:type="band2Horz">
      <w:rPr>
        <w:rFonts w:ascii="Arial" w:hAnsi="Arial"/>
        <w:color w:val="254175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184" w:themeColor="accent2" w:themeTint="97"/>
        <w:bottom w:val="single" w:sz="4" w:space="0" w:color="F4B184" w:themeColor="accent2" w:themeTint="97"/>
      </w:tblBorders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4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9C9C9" w:themeColor="accent3" w:themeTint="98"/>
        <w:bottom w:val="single" w:sz="4" w:space="0" w:color="C9C9C9" w:themeColor="accent3" w:themeTint="98"/>
      </w:tblBorders>
    </w:tblPr>
    <w:tblStylePr w:type="firstRow">
      <w:rPr>
        <w:b/>
        <w:color w:val="C9C9C9" w:themeColor="accent3" w:themeTint="98" w:themeShade="95"/>
      </w:rPr>
      <w:tblPr/>
      <w:tcPr>
        <w:tcBorders>
          <w:bottom w:val="single" w:sz="4" w:space="0" w:color="C9C9C9" w:themeColor="accent3" w:themeTint="98"/>
        </w:tcBorders>
      </w:tcPr>
    </w:tblStylePr>
    <w:tblStylePr w:type="lastRow">
      <w:rPr>
        <w:b/>
        <w:color w:val="C9C9C9" w:themeColor="accent3" w:themeTint="98" w:themeShade="95"/>
      </w:rPr>
      <w:tblPr/>
      <w:tcPr>
        <w:tcBorders>
          <w:top w:val="single" w:sz="4" w:space="0" w:color="C9C9C9" w:themeColor="accent3" w:themeTint="98"/>
        </w:tcBorders>
      </w:tcPr>
    </w:tblStylePr>
    <w:tblStylePr w:type="firstCol">
      <w:rPr>
        <w:b/>
        <w:color w:val="C9C9C9" w:themeColor="accent3" w:themeTint="98" w:themeShade="95"/>
      </w:rPr>
    </w:tblStylePr>
    <w:tblStylePr w:type="lastCol">
      <w:rPr>
        <w:b/>
        <w:color w:val="C9C9C9" w:themeColor="accent3" w:themeTint="98" w:themeShade="95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865" w:themeColor="accent4" w:themeTint="9A"/>
        <w:bottom w:val="single" w:sz="4" w:space="0" w:color="FFD865" w:themeColor="accent4" w:themeTint="9A"/>
      </w:tblBorders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4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C2E5" w:themeColor="accent5" w:themeTint="9A"/>
        <w:bottom w:val="single" w:sz="4" w:space="0" w:color="9BC2E5" w:themeColor="accent5" w:themeTint="9A"/>
      </w:tblBorders>
    </w:tblPr>
    <w:tblStylePr w:type="firstRow">
      <w:rPr>
        <w:b/>
        <w:color w:val="9BC2E5" w:themeColor="accent5" w:themeTint="9A" w:themeShade="95"/>
      </w:rPr>
      <w:tblPr/>
      <w:tcPr>
        <w:tcBorders>
          <w:bottom w:val="single" w:sz="4" w:space="0" w:color="9BC2E5" w:themeColor="accent5" w:themeTint="9A"/>
        </w:tcBorders>
      </w:tcPr>
    </w:tblStylePr>
    <w:tblStylePr w:type="lastRow">
      <w:rPr>
        <w:b/>
        <w:color w:val="9BC2E5" w:themeColor="accent5" w:themeTint="9A" w:themeShade="95"/>
      </w:rPr>
      <w:tblPr/>
      <w:tcPr>
        <w:tcBorders>
          <w:top w:val="single" w:sz="4" w:space="0" w:color="9BC2E5" w:themeColor="accent5" w:themeTint="9A"/>
        </w:tcBorders>
      </w:tcPr>
    </w:tblStylePr>
    <w:tblStylePr w:type="firstCol">
      <w:rPr>
        <w:b/>
        <w:color w:val="9BC2E5" w:themeColor="accent5" w:themeTint="9A" w:themeShade="95"/>
      </w:rPr>
    </w:tblStylePr>
    <w:tblStylePr w:type="lastCol">
      <w:rPr>
        <w:b/>
        <w:color w:val="9BC2E5" w:themeColor="accent5" w:themeTint="9A" w:themeShade="95"/>
      </w:rPr>
    </w:tblStylePr>
    <w:tblStylePr w:type="band1Vert">
      <w:tblPr/>
      <w:tcPr>
        <w:shd w:val="clear" w:color="D5E5F4" w:themeColor="accent5" w:themeTint="40" w:fill="D5E5F4" w:themeFill="accent5" w:themeFillTint="40"/>
      </w:tcPr>
    </w:tblStylePr>
    <w:tblStylePr w:type="band1Horz">
      <w:rPr>
        <w:rFonts w:ascii="Arial" w:hAnsi="Arial"/>
        <w:color w:val="9BC2E5" w:themeColor="accent5" w:themeTint="9A" w:themeShade="95"/>
        <w:sz w:val="22"/>
      </w:rPr>
      <w:tblPr/>
      <w:tcPr>
        <w:shd w:val="clear" w:color="D5E5F4" w:themeColor="accent5" w:themeTint="40" w:fill="D5E5F4" w:themeFill="accent5" w:themeFillTint="40"/>
      </w:tcPr>
    </w:tblStylePr>
    <w:tblStylePr w:type="band2Horz">
      <w:rPr>
        <w:rFonts w:ascii="Arial" w:hAnsi="Arial"/>
        <w:color w:val="9BC2E5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9D08E" w:themeColor="accent6" w:themeTint="98"/>
        <w:bottom w:val="single" w:sz="4" w:space="0" w:color="A9D08E" w:themeColor="accent6" w:themeTint="98"/>
      </w:tblBorders>
    </w:tblPr>
    <w:tblStylePr w:type="firstRow">
      <w:rPr>
        <w:b/>
        <w:color w:val="A9D08E" w:themeColor="accent6" w:themeTint="98" w:themeShade="95"/>
      </w:rPr>
      <w:tblPr/>
      <w:tcPr>
        <w:tcBorders>
          <w:bottom w:val="single" w:sz="4" w:space="0" w:color="A9D08E" w:themeColor="accent6" w:themeTint="98"/>
        </w:tcBorders>
      </w:tcPr>
    </w:tblStylePr>
    <w:tblStylePr w:type="lastRow">
      <w:rPr>
        <w:b/>
        <w:color w:val="A9D08E" w:themeColor="accent6" w:themeTint="98" w:themeShade="95"/>
      </w:rPr>
      <w:tblPr/>
      <w:tcPr>
        <w:tcBorders>
          <w:top w:val="single" w:sz="4" w:space="0" w:color="A9D08E" w:themeColor="accent6" w:themeTint="98"/>
        </w:tcBorders>
      </w:tcPr>
    </w:tblStylePr>
    <w:tblStylePr w:type="firstCol">
      <w:rPr>
        <w:b/>
        <w:color w:val="A9D08E" w:themeColor="accent6" w:themeTint="98" w:themeShade="95"/>
      </w:rPr>
    </w:tblStylePr>
    <w:tblStylePr w:type="lastCol">
      <w:rPr>
        <w:b/>
        <w:color w:val="A9D08E" w:themeColor="accent6" w:themeTint="98" w:themeShade="95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styleId="-70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472C4" w:themeColor="accent1"/>
      </w:tblBorders>
    </w:tblPr>
    <w:tblStylePr w:type="firstRow">
      <w:rPr>
        <w:rFonts w:ascii="Arial" w:hAnsi="Arial"/>
        <w:i/>
        <w:color w:val="254175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4472C4" w:themeColor="accent1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54175" w:themeColor="accent1" w:themeShade="95"/>
        <w:sz w:val="22"/>
      </w:rPr>
      <w:tblPr/>
      <w:tcPr>
        <w:tcBorders>
          <w:top w:val="single" w:sz="4" w:space="0" w:color="4472C4" w:themeColor="accent1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54175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4472C4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54175" w:themeColor="accent1" w:themeShade="95"/>
        <w:sz w:val="22"/>
      </w:rPr>
      <w:tblPr/>
      <w:tcPr>
        <w:tcBorders>
          <w:top w:val="none" w:sz="0" w:space="0" w:color="000000"/>
          <w:left w:val="single" w:sz="4" w:space="0" w:color="4472C4" w:themeColor="accent1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CFDBF0" w:themeColor="accent1" w:themeTint="40" w:fill="CFDBF0" w:themeFill="accent1" w:themeFillTint="40"/>
      </w:tcPr>
    </w:tblStylePr>
    <w:tblStylePr w:type="band1Horz">
      <w:rPr>
        <w:rFonts w:ascii="Arial" w:hAnsi="Arial"/>
        <w:color w:val="254175" w:themeColor="accent1" w:themeShade="95"/>
        <w:sz w:val="22"/>
      </w:rPr>
      <w:tblPr/>
      <w:tcPr>
        <w:shd w:val="clear" w:color="CFDBF0" w:themeColor="accent1" w:themeTint="40" w:fill="CFDBF0" w:themeFill="accent1" w:themeFillTint="40"/>
      </w:tcPr>
    </w:tblStylePr>
    <w:tblStylePr w:type="band2Horz">
      <w:rPr>
        <w:rFonts w:ascii="Arial" w:hAnsi="Arial"/>
        <w:color w:val="254175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4B184" w:themeColor="accent2" w:themeTint="97"/>
      </w:tblBorders>
    </w:tblPr>
    <w:tblStylePr w:type="fir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4B184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F4B184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9C9C9" w:themeColor="accent3" w:themeTint="98"/>
      </w:tblBorders>
    </w:tblPr>
    <w:tblStylePr w:type="fir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C9C9C9" w:themeColor="accent3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single" w:sz="4" w:space="0" w:color="C9C9C9" w:themeColor="accent3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C9C9C9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000000"/>
          <w:left w:val="single" w:sz="4" w:space="0" w:color="C9C9C9" w:themeColor="accent3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FD865" w:themeColor="accent4" w:themeTint="9A"/>
      </w:tblBorders>
    </w:tblPr>
    <w:tblStylePr w:type="fir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FD865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FFD865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9BC2E5" w:themeColor="accent5" w:themeTint="9A"/>
      </w:tblBorders>
    </w:tblPr>
    <w:tblStylePr w:type="firstRow">
      <w:rPr>
        <w:rFonts w:ascii="Arial" w:hAnsi="Arial"/>
        <w:i/>
        <w:color w:val="9BC2E5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BC2E5" w:themeColor="accent5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BC2E5" w:themeColor="accent5" w:themeTint="9A" w:themeShade="95"/>
        <w:sz w:val="22"/>
      </w:rPr>
      <w:tblPr/>
      <w:tcPr>
        <w:tcBorders>
          <w:top w:val="single" w:sz="4" w:space="0" w:color="9BC2E5" w:themeColor="accent5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BC2E5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BC2E5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BC2E5" w:themeColor="accent5" w:themeTint="9A" w:themeShade="95"/>
        <w:sz w:val="22"/>
      </w:rPr>
      <w:tblPr/>
      <w:tcPr>
        <w:tcBorders>
          <w:top w:val="none" w:sz="0" w:space="0" w:color="000000"/>
          <w:left w:val="single" w:sz="4" w:space="0" w:color="9BC2E5" w:themeColor="accent5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5E5F4" w:themeColor="accent5" w:themeTint="40" w:fill="D5E5F4" w:themeFill="accent5" w:themeFillTint="40"/>
      </w:tcPr>
    </w:tblStylePr>
    <w:tblStylePr w:type="band1Horz">
      <w:rPr>
        <w:rFonts w:ascii="Arial" w:hAnsi="Arial"/>
        <w:color w:val="9BC2E5" w:themeColor="accent5" w:themeTint="9A" w:themeShade="95"/>
        <w:sz w:val="22"/>
      </w:rPr>
      <w:tblPr/>
      <w:tcPr>
        <w:shd w:val="clear" w:color="D5E5F4" w:themeColor="accent5" w:themeTint="40" w:fill="D5E5F4" w:themeFill="accent5" w:themeFillTint="40"/>
      </w:tcPr>
    </w:tblStylePr>
    <w:tblStylePr w:type="band2Horz">
      <w:rPr>
        <w:rFonts w:ascii="Arial" w:hAnsi="Arial"/>
        <w:color w:val="9BC2E5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A9D08E" w:themeColor="accent6" w:themeTint="98"/>
      </w:tblBorders>
    </w:tblPr>
    <w:tblStylePr w:type="fir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A9D08E" w:themeColor="accent6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single" w:sz="4" w:space="0" w:color="A9D08E" w:themeColor="accent6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A9D08E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000000"/>
          <w:left w:val="single" w:sz="4" w:space="0" w:color="A9D08E" w:themeColor="accent6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4D2EC" w:themeColor="accent1" w:themeTint="50" w:fill="C4D2EC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4D2EC" w:themeColor="accent1" w:themeTint="50" w:fill="C4D2EC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54175" w:themeColor="accent1" w:themeShade="95"/>
        <w:left w:val="single" w:sz="4" w:space="0" w:color="254175" w:themeColor="accent1" w:themeShade="95"/>
        <w:bottom w:val="single" w:sz="4" w:space="0" w:color="254175" w:themeColor="accent1" w:themeShade="95"/>
        <w:right w:val="single" w:sz="4" w:space="0" w:color="254175" w:themeColor="accent1" w:themeShade="95"/>
        <w:insideH w:val="single" w:sz="4" w:space="0" w:color="254175" w:themeColor="accent1" w:themeShade="95"/>
        <w:insideV w:val="single" w:sz="4" w:space="0" w:color="254175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4D2EC" w:themeColor="accent1" w:themeTint="50" w:fill="C4D2EC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4D2EC" w:themeColor="accent1" w:themeTint="50" w:fill="C4D2EC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99460D" w:themeColor="accent2" w:themeShade="95"/>
        <w:left w:val="single" w:sz="4" w:space="0" w:color="99460D" w:themeColor="accent2" w:themeShade="95"/>
        <w:bottom w:val="single" w:sz="4" w:space="0" w:color="99460D" w:themeColor="accent2" w:themeShade="95"/>
        <w:right w:val="single" w:sz="4" w:space="0" w:color="99460D" w:themeColor="accent2" w:themeShade="95"/>
        <w:insideH w:val="single" w:sz="4" w:space="0" w:color="99460D" w:themeColor="accent2" w:themeShade="95"/>
        <w:insideV w:val="single" w:sz="4" w:space="0" w:color="99460D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606060" w:themeColor="accent3" w:themeShade="95"/>
        <w:left w:val="single" w:sz="4" w:space="0" w:color="606060" w:themeColor="accent3" w:themeShade="95"/>
        <w:bottom w:val="single" w:sz="4" w:space="0" w:color="606060" w:themeColor="accent3" w:themeShade="95"/>
        <w:right w:val="single" w:sz="4" w:space="0" w:color="606060" w:themeColor="accent3" w:themeShade="95"/>
        <w:insideH w:val="single" w:sz="4" w:space="0" w:color="606060" w:themeColor="accent3" w:themeShade="95"/>
        <w:insideV w:val="single" w:sz="4" w:space="0" w:color="606060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957000" w:themeColor="accent4" w:themeShade="95"/>
        <w:left w:val="single" w:sz="4" w:space="0" w:color="957000" w:themeColor="accent4" w:themeShade="95"/>
        <w:bottom w:val="single" w:sz="4" w:space="0" w:color="957000" w:themeColor="accent4" w:themeShade="95"/>
        <w:right w:val="single" w:sz="4" w:space="0" w:color="957000" w:themeColor="accent4" w:themeShade="95"/>
        <w:insideH w:val="single" w:sz="4" w:space="0" w:color="957000" w:themeColor="accent4" w:themeShade="95"/>
        <w:insideV w:val="single" w:sz="4" w:space="0" w:color="957000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45A8D" w:themeColor="accent5" w:themeShade="95"/>
        <w:left w:val="single" w:sz="4" w:space="0" w:color="245A8D" w:themeColor="accent5" w:themeShade="95"/>
        <w:bottom w:val="single" w:sz="4" w:space="0" w:color="245A8D" w:themeColor="accent5" w:themeShade="95"/>
        <w:right w:val="single" w:sz="4" w:space="0" w:color="245A8D" w:themeColor="accent5" w:themeShade="95"/>
        <w:insideH w:val="single" w:sz="4" w:space="0" w:color="245A8D" w:themeColor="accent5" w:themeShade="95"/>
        <w:insideV w:val="single" w:sz="4" w:space="0" w:color="245A8D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416429" w:themeColor="accent6" w:themeShade="95"/>
        <w:left w:val="single" w:sz="4" w:space="0" w:color="416429" w:themeColor="accent6" w:themeShade="95"/>
        <w:bottom w:val="single" w:sz="4" w:space="0" w:color="416429" w:themeColor="accent6" w:themeShade="95"/>
        <w:right w:val="single" w:sz="4" w:space="0" w:color="416429" w:themeColor="accent6" w:themeShade="95"/>
        <w:insideH w:val="single" w:sz="4" w:space="0" w:color="416429" w:themeColor="accent6" w:themeShade="95"/>
        <w:insideV w:val="single" w:sz="4" w:space="0" w:color="416429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3C5E7" w:themeColor="accent1" w:themeTint="67"/>
        <w:left w:val="single" w:sz="4" w:space="0" w:color="B3C5E7" w:themeColor="accent1" w:themeTint="67"/>
        <w:bottom w:val="single" w:sz="4" w:space="0" w:color="B3C5E7" w:themeColor="accent1" w:themeTint="67"/>
        <w:right w:val="single" w:sz="4" w:space="0" w:color="B3C5E7" w:themeColor="accent1" w:themeTint="67"/>
        <w:insideH w:val="single" w:sz="4" w:space="0" w:color="B3C5E7" w:themeColor="accent1" w:themeTint="67"/>
        <w:insideV w:val="single" w:sz="4" w:space="0" w:color="B3C5E7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472C4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472C4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472C4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1" w:themeTint="67"/>
          <w:left w:val="single" w:sz="4" w:space="0" w:color="B3C5E7" w:themeColor="accent1" w:themeTint="67"/>
          <w:bottom w:val="single" w:sz="4" w:space="0" w:color="B3C5E7" w:themeColor="accent1" w:themeTint="67"/>
          <w:right w:val="single" w:sz="4" w:space="0" w:color="B3C5E7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4B184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9C9C9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9C9C9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FD865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CD6EE" w:themeColor="accent5" w:themeTint="67"/>
        <w:left w:val="single" w:sz="4" w:space="0" w:color="BCD6EE" w:themeColor="accent5" w:themeTint="67"/>
        <w:bottom w:val="single" w:sz="4" w:space="0" w:color="BCD6EE" w:themeColor="accent5" w:themeTint="67"/>
        <w:right w:val="single" w:sz="4" w:space="0" w:color="BCD6EE" w:themeColor="accent5" w:themeTint="67"/>
        <w:insideH w:val="single" w:sz="4" w:space="0" w:color="BCD6EE" w:themeColor="accent5" w:themeTint="67"/>
        <w:insideV w:val="single" w:sz="4" w:space="0" w:color="BCD6EE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BC2E5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BC2E5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BC2E5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5" w:themeTint="67"/>
          <w:left w:val="single" w:sz="4" w:space="0" w:color="BCD6EE" w:themeColor="accent5" w:themeTint="67"/>
          <w:bottom w:val="single" w:sz="4" w:space="0" w:color="BCD6EE" w:themeColor="accent5" w:themeTint="67"/>
          <w:right w:val="single" w:sz="4" w:space="0" w:color="BCD6EE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A9D08E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A9D08E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paragraph" w:styleId="af">
    <w:name w:val="footnote text"/>
    <w:basedOn w:val="a"/>
    <w:link w:val="af0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0">
    <w:name w:val="Текст сноски Знак"/>
    <w:link w:val="af"/>
    <w:uiPriority w:val="99"/>
    <w:rPr>
      <w:sz w:val="18"/>
    </w:rPr>
  </w:style>
  <w:style w:type="character" w:styleId="af1">
    <w:name w:val="footnote reference"/>
    <w:basedOn w:val="a0"/>
    <w:uiPriority w:val="99"/>
    <w:unhideWhenUsed/>
    <w:rPr>
      <w:vertAlign w:val="superscript"/>
    </w:rPr>
  </w:style>
  <w:style w:type="paragraph" w:styleId="af2">
    <w:name w:val="endnote text"/>
    <w:basedOn w:val="a"/>
    <w:link w:val="af3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3">
    <w:name w:val="Текст концевой сноски Знак"/>
    <w:link w:val="af2"/>
    <w:uiPriority w:val="99"/>
    <w:rPr>
      <w:sz w:val="20"/>
    </w:rPr>
  </w:style>
  <w:style w:type="character" w:styleId="af4">
    <w:name w:val="endnote reference"/>
    <w:basedOn w:val="a0"/>
    <w:uiPriority w:val="99"/>
    <w:semiHidden/>
    <w:unhideWhenUsed/>
    <w:rPr>
      <w:vertAlign w:val="superscript"/>
    </w:rPr>
  </w:style>
  <w:style w:type="paragraph" w:styleId="12">
    <w:name w:val="toc 1"/>
    <w:basedOn w:val="a"/>
    <w:next w:val="a"/>
    <w:uiPriority w:val="39"/>
    <w:unhideWhenUsed/>
    <w:pPr>
      <w:spacing w:after="57"/>
    </w:pPr>
  </w:style>
  <w:style w:type="paragraph" w:styleId="24">
    <w:name w:val="toc 2"/>
    <w:basedOn w:val="a"/>
    <w:next w:val="a"/>
    <w:uiPriority w:val="39"/>
    <w:unhideWhenUsed/>
    <w:pPr>
      <w:spacing w:after="57"/>
      <w:ind w:left="283"/>
    </w:pPr>
  </w:style>
  <w:style w:type="paragraph" w:styleId="32">
    <w:name w:val="toc 3"/>
    <w:basedOn w:val="a"/>
    <w:next w:val="a"/>
    <w:uiPriority w:val="39"/>
    <w:unhideWhenUsed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5">
    <w:name w:val="TOC Heading"/>
    <w:uiPriority w:val="39"/>
    <w:unhideWhenUsed/>
  </w:style>
  <w:style w:type="paragraph" w:styleId="af6">
    <w:name w:val="table of figures"/>
    <w:basedOn w:val="a"/>
    <w:next w:val="a"/>
    <w:uiPriority w:val="99"/>
    <w:unhideWhenUsed/>
    <w:pPr>
      <w:spacing w:after="0"/>
    </w:pPr>
  </w:style>
  <w:style w:type="paragraph" w:styleId="af7">
    <w:name w:val="Title"/>
    <w:basedOn w:val="a"/>
    <w:next w:val="a"/>
    <w:link w:val="af8"/>
    <w:uiPriority w:val="10"/>
    <w:qFormat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sz w:val="56"/>
      <w:szCs w:val="56"/>
    </w:rPr>
  </w:style>
  <w:style w:type="character" w:customStyle="1" w:styleId="af8">
    <w:name w:val="Заголовок Знак"/>
    <w:basedOn w:val="a0"/>
    <w:link w:val="af7"/>
    <w:uiPriority w:val="10"/>
    <w:rPr>
      <w:rFonts w:asciiTheme="majorHAnsi" w:eastAsiaTheme="majorEastAsia" w:hAnsiTheme="majorHAnsi" w:cstheme="majorBidi"/>
      <w:spacing w:val="-10"/>
      <w:sz w:val="56"/>
      <w:szCs w:val="56"/>
    </w:rPr>
  </w:style>
  <w:style w:type="character" w:styleId="af9">
    <w:name w:val="Hyperlink"/>
    <w:basedOn w:val="a0"/>
    <w:uiPriority w:val="99"/>
    <w:semiHidden/>
    <w:unhideWhenUsed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play.google.com/store/apps/details?id=ru.sigma.gisgkh&amp;hl=ru&amp;gl=US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s://apps.apple.com/ru/app/%D0%B3%D0%BE%D1%81%D1%83%D1%81%D0%BB%D1%83%D0%B3%D0%B8-%D0%B4%D0%BE%D0%BC/id1616550510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apps.rustore.ru/app/ru.sigma.gisgkh" TargetMode="Externa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hyperlink" Target="https://huaweimobileservices.com/ru/appgallery-russian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953</Words>
  <Characters>5437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Демидова Светлана Андреевна</dc:creator>
  <cp:keywords/>
  <dc:description/>
  <cp:lastModifiedBy>Кузьмина В.П.</cp:lastModifiedBy>
  <cp:revision>2</cp:revision>
  <dcterms:created xsi:type="dcterms:W3CDTF">2025-11-11T14:09:00Z</dcterms:created>
  <dcterms:modified xsi:type="dcterms:W3CDTF">2025-11-11T14:09:00Z</dcterms:modified>
</cp:coreProperties>
</file>