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5AC05" w14:textId="77777777" w:rsidR="00726A04" w:rsidRDefault="00726A04">
      <w:pPr>
        <w:widowControl w:val="0"/>
        <w:spacing w:after="0"/>
        <w:jc w:val="right"/>
        <w:rPr>
          <w:sz w:val="22"/>
          <w:szCs w:val="22"/>
        </w:rPr>
      </w:pPr>
    </w:p>
    <w:p w14:paraId="7074E660" w14:textId="77777777" w:rsidR="00726A04" w:rsidRDefault="00734F4B">
      <w:pPr>
        <w:pStyle w:val="ConsPlusNonformat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ОБОСНОВАНИЕ</w:t>
      </w:r>
    </w:p>
    <w:p w14:paraId="4FB6D14F" w14:textId="77777777" w:rsidR="00726A04" w:rsidRDefault="00734F4B">
      <w:pPr>
        <w:pStyle w:val="ConsPlusNonformat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начальной (максимальной) цены контракта </w:t>
      </w:r>
    </w:p>
    <w:p w14:paraId="338894D9" w14:textId="39211DA6" w:rsidR="00726A04" w:rsidRDefault="00A203B6">
      <w:pPr>
        <w:pStyle w:val="ConsPlusNormal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A203B6">
        <w:rPr>
          <w:rFonts w:ascii="Times New Roman" w:hAnsi="Times New Roman" w:cs="Times New Roman"/>
          <w:sz w:val="28"/>
          <w:szCs w:val="28"/>
        </w:rPr>
        <w:t xml:space="preserve">Выполнение работ по благоустройству территории </w:t>
      </w:r>
    </w:p>
    <w:p w14:paraId="19C317CF" w14:textId="77777777" w:rsidR="00726A04" w:rsidRDefault="00726A04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tbl>
      <w:tblPr>
        <w:tblW w:w="14827" w:type="dxa"/>
        <w:tblInd w:w="15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692"/>
        <w:gridCol w:w="10135"/>
      </w:tblGrid>
      <w:tr w:rsidR="00726A04" w14:paraId="0F9DDB90" w14:textId="77777777"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524E8" w14:textId="77777777" w:rsidR="00726A04" w:rsidRDefault="00734F4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10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5C7C6" w14:textId="77777777" w:rsidR="00726A04" w:rsidRDefault="00734F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иной метод – сметный расчет</w:t>
            </w:r>
          </w:p>
        </w:tc>
      </w:tr>
      <w:tr w:rsidR="00726A04" w14:paraId="1631168D" w14:textId="77777777"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D49E" w14:textId="77777777" w:rsidR="00726A04" w:rsidRDefault="00734F4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 невозможности использования методов определения начальной (максимальной) цены контракта, установленных в ч.1 ст.22 Федерального закона №44-ФЗ</w:t>
            </w:r>
          </w:p>
        </w:tc>
        <w:tc>
          <w:tcPr>
            <w:tcW w:w="10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578CE" w14:textId="77777777" w:rsidR="00726A04" w:rsidRDefault="00734F4B">
            <w:pPr>
              <w:widowControl w:val="0"/>
              <w:spacing w:after="0"/>
              <w:ind w:firstLine="709"/>
              <w:outlineLvl w:val="0"/>
            </w:pPr>
            <w:r>
              <w:t>1. Определение НМЦК методом сопоставимых рыночных цен (анализа рынка).</w:t>
            </w:r>
          </w:p>
          <w:p w14:paraId="18A854A6" w14:textId="77777777" w:rsidR="00726A04" w:rsidRDefault="00734F4B">
            <w:pPr>
              <w:widowControl w:val="0"/>
              <w:spacing w:after="0"/>
              <w:ind w:firstLine="709"/>
              <w:outlineLvl w:val="0"/>
            </w:pPr>
            <w:r>
              <w:t>Данный метод использовать, невозможно, т.к. конечный результат достигается исключительно в процессе выполнения работ, потенциальные подрядчики не могут определить в полном объеме состав работ и как следствие оценить их полную стоимость. Применение данного метода может повлечь необоснованное увеличение либо занижение цены контракта, что может привести к неосуществлению данной закупки. Использование общедоступной информации о рыночных ценах работ не может использоваться при определении начальной (максимальной) цены контракта, т.к. работы, указанные в такой информации, не являются готовым к продаже объектом закупки.</w:t>
            </w:r>
          </w:p>
          <w:p w14:paraId="0CC427AB" w14:textId="77777777" w:rsidR="00726A04" w:rsidRDefault="00734F4B">
            <w:pPr>
              <w:widowControl w:val="0"/>
              <w:spacing w:after="0"/>
              <w:ind w:firstLine="709"/>
              <w:outlineLvl w:val="0"/>
            </w:pPr>
            <w:r>
              <w:t>2. Определение НМЦК нормативным методом.</w:t>
            </w:r>
          </w:p>
          <w:p w14:paraId="5C3289E9" w14:textId="77777777" w:rsidR="00726A04" w:rsidRDefault="00734F4B">
            <w:pPr>
              <w:widowControl w:val="0"/>
              <w:spacing w:after="0"/>
              <w:ind w:firstLine="709"/>
              <w:outlineLvl w:val="0"/>
            </w:pPr>
            <w:r>
              <w:t>Данный метод не может быть применим заказчиком, так как муниципальными правовыми актами не установлены предельные цены и нормативы на выполнение работ, являющихся предметом данной закупки.</w:t>
            </w:r>
          </w:p>
          <w:p w14:paraId="19E191BA" w14:textId="77777777" w:rsidR="00726A04" w:rsidRDefault="00734F4B">
            <w:pPr>
              <w:widowControl w:val="0"/>
              <w:spacing w:after="0"/>
              <w:ind w:firstLine="709"/>
              <w:outlineLvl w:val="0"/>
            </w:pPr>
            <w:r>
              <w:t>3. Определение НМЦК тарифным методом.</w:t>
            </w:r>
          </w:p>
          <w:p w14:paraId="7DA05D7D" w14:textId="77777777" w:rsidR="00726A04" w:rsidRDefault="00734F4B">
            <w:pPr>
              <w:widowControl w:val="0"/>
              <w:spacing w:after="0"/>
              <w:ind w:firstLine="709"/>
              <w:outlineLvl w:val="0"/>
            </w:pPr>
            <w:r>
              <w:t>Данный метод не может быть применим ввиду отсутствия установленных тарифов на данные работы, так как работы, являющиеся предметом данной закупки, не подлежат государственному регулированию.</w:t>
            </w:r>
          </w:p>
          <w:p w14:paraId="0C2F8B36" w14:textId="77777777" w:rsidR="00726A04" w:rsidRDefault="00734F4B">
            <w:pPr>
              <w:widowControl w:val="0"/>
              <w:spacing w:after="0"/>
              <w:ind w:firstLine="709"/>
              <w:outlineLvl w:val="0"/>
            </w:pPr>
            <w:r>
              <w:t>4. Определение НМЦК проектно-сметным методом.</w:t>
            </w:r>
          </w:p>
          <w:p w14:paraId="16FC4167" w14:textId="77777777" w:rsidR="00726A04" w:rsidRDefault="00734F4B">
            <w:pPr>
              <w:widowControl w:val="0"/>
              <w:spacing w:after="0"/>
              <w:ind w:firstLine="709"/>
              <w:outlineLvl w:val="0"/>
            </w:pPr>
            <w:r>
              <w:t>Проектно-сметный метод использовать невозможно, так как данный метод применяется только для определения НМЦК на строительство, реконструкцию, капитальный ремонт, текущий ремонт объекта капитального строительства на соответствии проектной документацией, разработанной и утвержденной в соответствии с законодательством Российской Федерации.</w:t>
            </w:r>
          </w:p>
          <w:p w14:paraId="6665DB64" w14:textId="77777777" w:rsidR="00726A04" w:rsidRDefault="00734F4B">
            <w:pPr>
              <w:widowControl w:val="0"/>
              <w:spacing w:after="0"/>
              <w:ind w:firstLine="709"/>
              <w:outlineLvl w:val="0"/>
            </w:pPr>
            <w:r>
              <w:t>5. Определение НМЦК затратным методом.</w:t>
            </w:r>
          </w:p>
          <w:p w14:paraId="6C9E7666" w14:textId="77777777" w:rsidR="00726A04" w:rsidRDefault="00734F4B">
            <w:pPr>
              <w:widowControl w:val="0"/>
              <w:spacing w:after="0"/>
              <w:ind w:firstLine="709"/>
              <w:outlineLvl w:val="0"/>
            </w:pPr>
            <w:r>
              <w:t>Затратный метод использовать невозможно, т.к. не представляется возможным учесть все прямые и косвенные затраты на производство или приобретение и (или) реализацию товаров, работ, услуг, затраты на транспортировку, хранение, страхование и иные затраты при производстве данных работ</w:t>
            </w:r>
          </w:p>
        </w:tc>
      </w:tr>
      <w:tr w:rsidR="00726A04" w14:paraId="786B0E08" w14:textId="77777777">
        <w:trPr>
          <w:trHeight w:val="966"/>
        </w:trPr>
        <w:tc>
          <w:tcPr>
            <w:tcW w:w="46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3ADD7C" w14:textId="77777777" w:rsidR="00726A04" w:rsidRDefault="00734F4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Расчет начальной (максимальной) цены контракта</w:t>
            </w:r>
          </w:p>
        </w:tc>
        <w:tc>
          <w:tcPr>
            <w:tcW w:w="10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4FDC14" w14:textId="77777777" w:rsidR="00726A04" w:rsidRDefault="00734F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контракта сформирована на основании локальной сметы (находится в списке документов закупки, доступных для загрузки в единой информационной системе в сфере закупок по адресу: www.zakupki.gov.ru)</w:t>
            </w:r>
          </w:p>
          <w:p w14:paraId="3FBAB2D3" w14:textId="6FBA89A2" w:rsidR="00726A04" w:rsidRDefault="00734F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НМЦК принимается в размере: </w:t>
            </w:r>
            <w:r w:rsidR="00C72B18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72B18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A203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 </w:t>
            </w:r>
            <w:r w:rsidR="00C72B1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копеек)</w:t>
            </w:r>
          </w:p>
        </w:tc>
      </w:tr>
      <w:tr w:rsidR="00726A04" w14:paraId="34B2B094" w14:textId="77777777">
        <w:trPr>
          <w:trHeight w:val="966"/>
        </w:trPr>
        <w:tc>
          <w:tcPr>
            <w:tcW w:w="46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0650C0" w14:textId="77777777" w:rsidR="00726A04" w:rsidRDefault="00734F4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должностного лица контрактной службы заказчика, контрактного управляющего, ответственного за обоснование начальной (максимальной) цены контракта, номер контактного телефона</w:t>
            </w:r>
          </w:p>
        </w:tc>
        <w:tc>
          <w:tcPr>
            <w:tcW w:w="10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54BBBB" w14:textId="3DB71E43" w:rsidR="00726A04" w:rsidRDefault="00A203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Пчелинцев Роман Иванович</w:t>
            </w:r>
            <w:r w:rsidR="00734F4B">
              <w:rPr>
                <w:rFonts w:ascii="Times New Roman" w:hAnsi="Times New Roman" w:cs="Times New Roman"/>
                <w:sz w:val="24"/>
                <w:szCs w:val="24"/>
              </w:rPr>
              <w:t xml:space="preserve">, тел. </w:t>
            </w:r>
            <w:r w:rsidR="00C72B18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</w:tr>
      <w:tr w:rsidR="00726A04" w14:paraId="43C26266" w14:textId="77777777">
        <w:tc>
          <w:tcPr>
            <w:tcW w:w="14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CE7B8" w14:textId="3AB4D684" w:rsidR="00726A04" w:rsidRDefault="00734F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подготовки обоснования </w:t>
            </w:r>
            <w:r w:rsidR="00A203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4.04.202</w:t>
            </w:r>
            <w:r w:rsidR="00A203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05C8546A" w14:textId="77777777" w:rsidR="00726A04" w:rsidRDefault="00726A04">
      <w:pPr>
        <w:pStyle w:val="HTML0"/>
        <w:widowControl w:val="0"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sectPr w:rsidR="00726A04">
      <w:pgSz w:w="16838" w:h="11906" w:orient="landscape"/>
      <w:pgMar w:top="567" w:right="426" w:bottom="707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37C75" w14:textId="77777777" w:rsidR="00944994" w:rsidRDefault="00944994">
      <w:pPr>
        <w:spacing w:after="0"/>
      </w:pPr>
      <w:r>
        <w:separator/>
      </w:r>
    </w:p>
  </w:endnote>
  <w:endnote w:type="continuationSeparator" w:id="0">
    <w:p w14:paraId="2CCFEB1D" w14:textId="77777777" w:rsidR="00944994" w:rsidRDefault="009449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-BoldMT">
    <w:altName w:val="Times New Roman"/>
    <w:charset w:val="00"/>
    <w:family w:val="auto"/>
    <w:pitch w:val="default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7DF53" w14:textId="77777777" w:rsidR="00944994" w:rsidRDefault="00944994">
      <w:pPr>
        <w:spacing w:after="0"/>
      </w:pPr>
      <w:r>
        <w:separator/>
      </w:r>
    </w:p>
  </w:footnote>
  <w:footnote w:type="continuationSeparator" w:id="0">
    <w:p w14:paraId="1D9BC4BC" w14:textId="77777777" w:rsidR="00944994" w:rsidRDefault="0094499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A04"/>
    <w:rsid w:val="00260249"/>
    <w:rsid w:val="003444E7"/>
    <w:rsid w:val="00726A04"/>
    <w:rsid w:val="00734F4B"/>
    <w:rsid w:val="008125C4"/>
    <w:rsid w:val="00944994"/>
    <w:rsid w:val="00A203B6"/>
    <w:rsid w:val="00AF3FB2"/>
    <w:rsid w:val="00C72B18"/>
    <w:rsid w:val="00FC3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3AB0D"/>
  <w15:docId w15:val="{4483CD14-A977-4150-9511-9EC5D9EF1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2F5496" w:themeColor="accent1" w:themeShade="BF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a3">
    <w:name w:val="Заголовок Знак"/>
    <w:basedOn w:val="a0"/>
    <w:link w:val="a4"/>
    <w:uiPriority w:val="10"/>
    <w:qFormat/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Подзаголовок Знак"/>
    <w:basedOn w:val="a0"/>
    <w:link w:val="a6"/>
    <w:uiPriority w:val="11"/>
    <w:qFormat/>
    <w:rPr>
      <w:color w:val="595959" w:themeColor="text1" w:themeTint="A6"/>
      <w:spacing w:val="15"/>
      <w:sz w:val="28"/>
      <w:szCs w:val="28"/>
    </w:rPr>
  </w:style>
  <w:style w:type="character" w:customStyle="1" w:styleId="21">
    <w:name w:val="Цитата 2 Знак"/>
    <w:basedOn w:val="a0"/>
    <w:link w:val="22"/>
    <w:uiPriority w:val="29"/>
    <w:qFormat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2F5496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Pr>
      <w:i/>
      <w:iCs/>
      <w:color w:val="2F5496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ab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c">
    <w:name w:val="Emphasis"/>
    <w:basedOn w:val="a0"/>
    <w:uiPriority w:val="20"/>
    <w:qFormat/>
    <w:rPr>
      <w:i/>
      <w:iCs/>
    </w:r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af0">
    <w:name w:val="Верхний колонтитул Знак"/>
    <w:basedOn w:val="a0"/>
    <w:link w:val="af1"/>
    <w:uiPriority w:val="99"/>
    <w:qFormat/>
  </w:style>
  <w:style w:type="character" w:customStyle="1" w:styleId="af2">
    <w:name w:val="Нижний колонтитул Знак"/>
    <w:basedOn w:val="a0"/>
    <w:link w:val="af3"/>
    <w:uiPriority w:val="99"/>
    <w:qFormat/>
  </w:style>
  <w:style w:type="character" w:customStyle="1" w:styleId="af4">
    <w:name w:val="Текст сноски Знак"/>
    <w:basedOn w:val="a0"/>
    <w:link w:val="af5"/>
    <w:uiPriority w:val="99"/>
    <w:semiHidden/>
    <w:qFormat/>
    <w:rPr>
      <w:sz w:val="20"/>
      <w:szCs w:val="20"/>
    </w:rPr>
  </w:style>
  <w:style w:type="character" w:customStyle="1" w:styleId="af6">
    <w:name w:val="Символ сноски"/>
    <w:basedOn w:val="a0"/>
    <w:uiPriority w:val="99"/>
    <w:semiHidden/>
    <w:unhideWhenUsed/>
    <w:qFormat/>
    <w:rPr>
      <w:vertAlign w:val="superscript"/>
    </w:rPr>
  </w:style>
  <w:style w:type="character" w:styleId="af7">
    <w:name w:val="footnote reference"/>
    <w:rPr>
      <w:vertAlign w:val="superscript"/>
    </w:rPr>
  </w:style>
  <w:style w:type="character" w:customStyle="1" w:styleId="af8">
    <w:name w:val="Текст концевой сноски Знак"/>
    <w:basedOn w:val="a0"/>
    <w:link w:val="af9"/>
    <w:uiPriority w:val="99"/>
    <w:semiHidden/>
    <w:qFormat/>
    <w:rPr>
      <w:sz w:val="20"/>
      <w:szCs w:val="20"/>
    </w:rPr>
  </w:style>
  <w:style w:type="character" w:customStyle="1" w:styleId="afa">
    <w:name w:val="Символ концевой сноски"/>
    <w:basedOn w:val="a0"/>
    <w:uiPriority w:val="99"/>
    <w:semiHidden/>
    <w:unhideWhenUsed/>
    <w:qFormat/>
    <w:rPr>
      <w:vertAlign w:val="superscript"/>
    </w:rPr>
  </w:style>
  <w:style w:type="character" w:styleId="afb">
    <w:name w:val="endnote reference"/>
    <w:rPr>
      <w:vertAlign w:val="superscript"/>
    </w:rPr>
  </w:style>
  <w:style w:type="character" w:styleId="afc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HTML">
    <w:name w:val="Стандартный HTML Знак"/>
    <w:basedOn w:val="a0"/>
    <w:link w:val="HTML0"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Hyperlink"/>
    <w:uiPriority w:val="99"/>
    <w:unhideWhenUsed/>
    <w:rPr>
      <w:color w:val="0563C1"/>
      <w:u w:val="single"/>
    </w:rPr>
  </w:style>
  <w:style w:type="character" w:customStyle="1" w:styleId="ConsPlusNonformat">
    <w:name w:val="ConsPlusNonformat Знак"/>
    <w:link w:val="ConsPlusNonformat0"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01">
    <w:name w:val="fontstyle01"/>
    <w:basedOn w:val="a0"/>
    <w:qFormat/>
    <w:rPr>
      <w:rFonts w:ascii="TimesNewRomanPS-BoldMT" w:hAnsi="TimesNewRomanPS-BoldMT"/>
      <w:b/>
      <w:bCs/>
      <w:i w:val="0"/>
      <w:iCs w:val="0"/>
      <w:color w:val="000000"/>
      <w:sz w:val="22"/>
      <w:szCs w:val="22"/>
    </w:rPr>
  </w:style>
  <w:style w:type="paragraph" w:customStyle="1" w:styleId="11">
    <w:name w:val="Заголовок1"/>
    <w:basedOn w:val="a"/>
    <w:next w:val="afe"/>
    <w:qFormat/>
    <w:pPr>
      <w:keepNext/>
      <w:spacing w:before="240" w:after="120"/>
    </w:pPr>
    <w:rPr>
      <w:rFonts w:ascii="Open Sans" w:eastAsia="Tahoma" w:hAnsi="Open Sans" w:cs="Lohit Devanagari"/>
      <w:sz w:val="28"/>
      <w:szCs w:val="28"/>
    </w:rPr>
  </w:style>
  <w:style w:type="paragraph" w:styleId="afe">
    <w:name w:val="Body Text"/>
    <w:basedOn w:val="a"/>
    <w:pPr>
      <w:spacing w:after="140" w:line="276" w:lineRule="auto"/>
    </w:pPr>
  </w:style>
  <w:style w:type="paragraph" w:styleId="aff">
    <w:name w:val="List"/>
    <w:basedOn w:val="afe"/>
    <w:rPr>
      <w:rFonts w:cs="Lohit Devanagari"/>
    </w:rPr>
  </w:style>
  <w:style w:type="paragraph" w:styleId="aff0">
    <w:name w:val="caption"/>
    <w:basedOn w:val="a"/>
    <w:next w:val="a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aff1">
    <w:name w:val="index heading"/>
    <w:basedOn w:val="11"/>
  </w:style>
  <w:style w:type="paragraph" w:styleId="a4">
    <w:name w:val="Title"/>
    <w:basedOn w:val="a"/>
    <w:next w:val="a"/>
    <w:link w:val="a3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5"/>
    <w:uiPriority w:val="11"/>
    <w:qFormat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1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aff2">
    <w:name w:val="List Paragraph"/>
    <w:basedOn w:val="a"/>
    <w:uiPriority w:val="34"/>
    <w:qFormat/>
    <w:pPr>
      <w:spacing w:after="160"/>
      <w:ind w:left="720"/>
      <w:contextualSpacing/>
    </w:pPr>
  </w:style>
  <w:style w:type="paragraph" w:styleId="a9">
    <w:name w:val="Intense Quote"/>
    <w:basedOn w:val="a"/>
    <w:next w:val="a"/>
    <w:link w:val="a8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aff3">
    <w:name w:val="No Spacing"/>
    <w:basedOn w:val="a"/>
    <w:uiPriority w:val="1"/>
    <w:qFormat/>
    <w:pPr>
      <w:spacing w:after="0"/>
    </w:pPr>
  </w:style>
  <w:style w:type="paragraph" w:customStyle="1" w:styleId="aff4">
    <w:name w:val="Колонтитул"/>
    <w:basedOn w:val="a"/>
    <w:qFormat/>
  </w:style>
  <w:style w:type="paragraph" w:styleId="af1">
    <w:name w:val="header"/>
    <w:basedOn w:val="a"/>
    <w:link w:val="af0"/>
    <w:uiPriority w:val="99"/>
    <w:unhideWhenUsed/>
    <w:pPr>
      <w:tabs>
        <w:tab w:val="center" w:pos="4844"/>
        <w:tab w:val="right" w:pos="9689"/>
      </w:tabs>
      <w:spacing w:after="0"/>
    </w:pPr>
  </w:style>
  <w:style w:type="paragraph" w:styleId="af3">
    <w:name w:val="footer"/>
    <w:basedOn w:val="a"/>
    <w:link w:val="af2"/>
    <w:uiPriority w:val="99"/>
    <w:unhideWhenUsed/>
    <w:pPr>
      <w:tabs>
        <w:tab w:val="center" w:pos="4844"/>
        <w:tab w:val="right" w:pos="9689"/>
      </w:tabs>
      <w:spacing w:after="0"/>
    </w:pPr>
  </w:style>
  <w:style w:type="paragraph" w:styleId="af5">
    <w:name w:val="footnote text"/>
    <w:basedOn w:val="a"/>
    <w:link w:val="af4"/>
    <w:uiPriority w:val="99"/>
    <w:semiHidden/>
    <w:unhideWhenUsed/>
    <w:pPr>
      <w:spacing w:after="0"/>
    </w:pPr>
    <w:rPr>
      <w:sz w:val="20"/>
      <w:szCs w:val="20"/>
    </w:rPr>
  </w:style>
  <w:style w:type="paragraph" w:styleId="af9">
    <w:name w:val="endnote text"/>
    <w:basedOn w:val="a"/>
    <w:link w:val="af8"/>
    <w:uiPriority w:val="99"/>
    <w:semiHidden/>
    <w:unhideWhenUsed/>
    <w:pPr>
      <w:spacing w:after="0"/>
    </w:pPr>
    <w:rPr>
      <w:sz w:val="20"/>
      <w:szCs w:val="20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f5">
    <w:name w:val="TOC Heading"/>
    <w:uiPriority w:val="39"/>
    <w:unhideWhenUsed/>
    <w:qFormat/>
    <w:pPr>
      <w:spacing w:after="160" w:line="259" w:lineRule="auto"/>
    </w:pPr>
  </w:style>
  <w:style w:type="paragraph" w:styleId="aff6">
    <w:name w:val="table of figures"/>
    <w:basedOn w:val="a"/>
    <w:next w:val="a"/>
    <w:uiPriority w:val="99"/>
    <w:unhideWhenUsed/>
    <w:pPr>
      <w:spacing w:after="0"/>
    </w:pPr>
  </w:style>
  <w:style w:type="paragraph" w:styleId="HTML0">
    <w:name w:val="HTML Preformatted"/>
    <w:basedOn w:val="a"/>
    <w:link w:val="HTM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ConsPlusNonformat0">
    <w:name w:val="ConsPlusNonformat"/>
    <w:link w:val="ConsPlusNonformat"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  <w:sz w:val="20"/>
      <w:szCs w:val="20"/>
      <w:lang w:eastAsia="ru-RU"/>
    </w:rPr>
  </w:style>
  <w:style w:type="table" w:styleId="aff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1" w:themeFillTint="34"/>
      </w:tcPr>
    </w:tblStylePr>
    <w:tblStylePr w:type="band1Horz">
      <w:rPr>
        <w:sz w:val="22"/>
      </w:rPr>
      <w:tblPr/>
      <w:tcPr>
        <w:shd w:val="clear" w:color="FFFFFF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DEAF6" w:themeFill="accent5" w:themeFillTint="34"/>
      </w:tcPr>
    </w:tblStylePr>
    <w:tblStylePr w:type="band1Horz">
      <w:rPr>
        <w:sz w:val="22"/>
      </w:rPr>
      <w:tblPr/>
      <w:tcPr>
        <w:shd w:val="clear" w:color="FFFFFF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8E2F3" w:themeFill="accent1" w:themeFillTint="34"/>
      </w:tcPr>
    </w:tblStylePr>
    <w:tblStylePr w:type="band1Horz">
      <w:rPr>
        <w:sz w:val="22"/>
      </w:rPr>
      <w:tblPr/>
      <w:tcPr>
        <w:shd w:val="clear" w:color="FFFFFF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DEAF6" w:themeFill="accent5" w:themeFillTint="34"/>
      </w:tcPr>
    </w:tblStylePr>
    <w:tblStylePr w:type="band1Horz">
      <w:rPr>
        <w:sz w:val="22"/>
      </w:rPr>
      <w:tblPr/>
      <w:tcPr>
        <w:shd w:val="clear" w:color="FFFFFF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</w:tcBorders>
        <w:shd w:val="clear" w:color="FFFFFF" w:fill="537DC8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3F3" w:themeFill="accent1" w:themeFillTint="32"/>
      </w:tcPr>
    </w:tblStylePr>
    <w:tblStylePr w:type="band1Horz">
      <w:rPr>
        <w:sz w:val="22"/>
      </w:rPr>
      <w:tblPr/>
      <w:tcPr>
        <w:shd w:val="clear" w:color="FFFFFF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FFFFFF" w:fill="5B9BD5" w:themeFill="accent5"/>
      </w:tcPr>
    </w:tblStylePr>
    <w:tblStylePr w:type="lastRow">
      <w:rPr>
        <w:b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DEAF6" w:themeFill="accent5" w:themeFillTint="34"/>
      </w:tcPr>
    </w:tblStylePr>
    <w:tblStylePr w:type="band1Horz">
      <w:rPr>
        <w:sz w:val="22"/>
      </w:rPr>
      <w:tblPr/>
      <w:tcPr>
        <w:shd w:val="clear" w:color="FFFFFF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4472C4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1"/>
      </w:tcPr>
    </w:tblStylePr>
    <w:tblStylePr w:type="firstCol">
      <w:rPr>
        <w:b/>
        <w:sz w:val="22"/>
      </w:rPr>
      <w:tblPr/>
      <w:tcPr>
        <w:shd w:val="clear" w:color="FFFFFF" w:fill="4472C4" w:themeFill="accent1"/>
      </w:tcPr>
    </w:tblStylePr>
    <w:tblStylePr w:type="lastCol">
      <w:rPr>
        <w:b/>
        <w:sz w:val="22"/>
      </w:rPr>
      <w:tblPr/>
      <w:tcPr>
        <w:shd w:val="clear" w:color="FFFFFF" w:fill="4472C4" w:themeFill="accent1"/>
      </w:tcPr>
    </w:tblStylePr>
    <w:tblStylePr w:type="band1Vert">
      <w:tblPr/>
      <w:tcPr>
        <w:shd w:val="clear" w:color="FFFFFF" w:fill="A9BEE4" w:themeFill="accent1" w:themeFillTint="75"/>
      </w:tcPr>
    </w:tblStylePr>
    <w:tblStylePr w:type="band1Horz">
      <w:tblPr/>
      <w:tcPr>
        <w:shd w:val="clear" w:color="FFFFFF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5B9BD5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5"/>
      </w:tcPr>
    </w:tblStylePr>
    <w:tblStylePr w:type="firstCol">
      <w:rPr>
        <w:b/>
        <w:sz w:val="22"/>
      </w:rPr>
      <w:tblPr/>
      <w:tcPr>
        <w:shd w:val="clear" w:color="FFFFFF" w:fill="5B9BD5" w:themeFill="accent5"/>
      </w:tcPr>
    </w:tblStylePr>
    <w:tblStylePr w:type="lastCol">
      <w:rPr>
        <w:b/>
        <w:sz w:val="22"/>
      </w:rPr>
      <w:tblPr/>
      <w:tcPr>
        <w:shd w:val="clear" w:color="FFFFFF" w:fill="5B9BD5" w:themeFill="accent5"/>
      </w:tcPr>
    </w:tblStylePr>
    <w:tblStylePr w:type="band1Vert">
      <w:tblPr/>
      <w:tcPr>
        <w:shd w:val="clear" w:color="FFFFFF" w:fill="B3D0EB" w:themeFill="accent5" w:themeFillTint="75"/>
      </w:tcPr>
    </w:tblStylePr>
    <w:tblStylePr w:type="band1Horz">
      <w:tblPr/>
      <w:tcPr>
        <w:shd w:val="clear" w:color="FFFFFF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FFFFFF" w:fill="D8E2F3" w:themeFill="accent1" w:themeFillTint="34"/>
      </w:tcPr>
    </w:tblStylePr>
    <w:tblStylePr w:type="band1Horz">
      <w:rPr>
        <w:color w:val="A0B7E1" w:themeColor="accent1" w:themeTint="80" w:themeShade="95"/>
        <w:sz w:val="22"/>
      </w:rPr>
      <w:tblPr/>
      <w:tcPr>
        <w:shd w:val="clear" w:color="FFFFFF" w:fill="D8E2F3" w:themeFill="accent1" w:themeFillTint="34"/>
      </w:tcPr>
    </w:tblStylePr>
    <w:tblStylePr w:type="band2Horz">
      <w:rPr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FFFFFF" w:fill="DDEAF6" w:themeFill="accent5" w:themeFillTint="34"/>
      </w:tcPr>
    </w:tblStylePr>
    <w:tblStylePr w:type="band1Horz">
      <w:rPr>
        <w:color w:val="245A8D" w:themeColor="accent5" w:themeShade="95"/>
        <w:sz w:val="22"/>
      </w:rPr>
      <w:tblPr/>
      <w:tcPr>
        <w:shd w:val="clear" w:color="FFFFFF" w:fill="DDEAF6" w:themeFill="accent5" w:themeFillTint="34"/>
      </w:tcPr>
    </w:tblStylePr>
    <w:tblStylePr w:type="band2Horz">
      <w:rPr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45A8D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000000" w:themeColor="text1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000000" w:themeColor="tex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A0B7E1" w:themeColor="accent1" w:themeTint="80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D8E2F3" w:themeFill="accent1" w:themeFillTint="34"/>
      </w:tcPr>
    </w:tblStylePr>
    <w:tblStylePr w:type="band1Horz">
      <w:rPr>
        <w:color w:val="A0B7E1" w:themeColor="accent1" w:themeTint="80" w:themeShade="95"/>
        <w:sz w:val="22"/>
      </w:rPr>
      <w:tblPr/>
      <w:tcPr>
        <w:shd w:val="clear" w:color="FFFFFF" w:fill="D8E2F3" w:themeFill="accent1" w:themeFillTint="34"/>
      </w:tcPr>
    </w:tblStylePr>
    <w:tblStylePr w:type="band2Horz">
      <w:rPr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ED7D31" w:themeColor="accent2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ED7D31" w:themeColor="accent2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C000" w:themeColor="accent4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C000" w:themeColor="accent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5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245A8D" w:themeColor="accent5" w:themeShade="95"/>
        <w:sz w:val="22"/>
      </w:rPr>
      <w:tblPr/>
      <w:tcPr>
        <w:tcBorders>
          <w:top w:val="single" w:sz="4" w:space="0" w:color="5B9BD5" w:themeColor="accent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5"/>
        </w:tcBorders>
        <w:shd w:val="clear" w:color="FFFFFF" w:fill="auto"/>
      </w:tcPr>
    </w:tblStylePr>
    <w:tblStylePr w:type="lastCol">
      <w:rPr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5B9BD5" w:themeColor="accent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DDEAF6" w:themeFill="accent5" w:themeFillTint="34"/>
      </w:tcPr>
    </w:tblStylePr>
    <w:tblStylePr w:type="band1Horz">
      <w:rPr>
        <w:color w:val="245A8D" w:themeColor="accent5" w:themeShade="95"/>
        <w:sz w:val="22"/>
      </w:rPr>
      <w:tblPr/>
      <w:tcPr>
        <w:shd w:val="clear" w:color="FFFFFF" w:fill="DDEAF6" w:themeFill="accent5" w:themeFillTint="34"/>
      </w:tcPr>
    </w:tblStylePr>
    <w:tblStylePr w:type="band2Horz">
      <w:rPr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0AD47" w:themeColor="accent6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70AD47" w:themeColor="accent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CFDBF0" w:themeFill="accent1" w:themeFillTint="40"/>
      </w:tcPr>
    </w:tblStylePr>
    <w:tblStylePr w:type="band1Horz">
      <w:tblPr/>
      <w:tcPr>
        <w:shd w:val="clear" w:color="FFFFFF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5E5F4" w:themeFill="accent5" w:themeFillTint="40"/>
      </w:tcPr>
    </w:tblStylePr>
    <w:tblStylePr w:type="band1Horz">
      <w:tblPr/>
      <w:tcPr>
        <w:shd w:val="clear" w:color="FFFFFF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CFDBF0" w:themeFill="accent1" w:themeFillTint="40"/>
      </w:tcPr>
    </w:tblStylePr>
    <w:tblStylePr w:type="band1Horz">
      <w:rPr>
        <w:sz w:val="22"/>
      </w:rPr>
      <w:tblPr/>
      <w:tcPr>
        <w:shd w:val="clear" w:color="FFFFFF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5B9BD5" w:themeColor="accent5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5B9BD5" w:themeColor="accent5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5E5F4" w:themeFill="accent5" w:themeFillTint="40"/>
      </w:tcPr>
    </w:tblStylePr>
    <w:tblStylePr w:type="band1Horz">
      <w:rPr>
        <w:sz w:val="22"/>
      </w:rPr>
      <w:tblPr/>
      <w:tcPr>
        <w:shd w:val="clear" w:color="FFFFFF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sz w:val="22"/>
      </w:rPr>
      <w:tblPr/>
      <w:tcPr>
        <w:shd w:val="clear" w:color="FFFFFF" w:fill="4472C4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b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b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b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b/>
        <w:sz w:val="22"/>
      </w:rPr>
      <w:tblPr/>
      <w:tcPr>
        <w:shd w:val="clear" w:color="FFFFFF" w:fill="9BC2E5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5"/>
          <w:bottom w:val="single" w:sz="4" w:space="0" w:color="5B9BD5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b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b/>
        <w:sz w:val="22"/>
      </w:rPr>
      <w:tblPr/>
      <w:tcPr>
        <w:shd w:val="clear" w:color="FFFFFF" w:fill="4472C4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FDBF0" w:themeFill="accent1" w:themeFillTint="40"/>
      </w:tcPr>
    </w:tblStylePr>
    <w:tblStylePr w:type="band1Horz">
      <w:rPr>
        <w:sz w:val="22"/>
      </w:rPr>
      <w:tblPr/>
      <w:tcPr>
        <w:shd w:val="clear" w:color="FFFFFF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b/>
        <w:sz w:val="22"/>
      </w:rPr>
      <w:tblPr/>
      <w:tcPr>
        <w:shd w:val="clear" w:color="FFFFFF" w:fill="5B9BD5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5E5F4" w:themeFill="accent5" w:themeFillTint="40"/>
      </w:tcPr>
    </w:tblStylePr>
    <w:tblStylePr w:type="band1Horz">
      <w:rPr>
        <w:sz w:val="22"/>
      </w:rPr>
      <w:tblPr/>
      <w:tcPr>
        <w:shd w:val="clear" w:color="FFFFFF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FFFFFF" w:fill="4472C4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5"/>
          <w:bottom w:val="single" w:sz="12" w:space="0" w:color="FFFFFF" w:themeColor="light1"/>
        </w:tcBorders>
        <w:shd w:val="clear" w:color="FFFFFF" w:fill="9BC2E5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FFFFFF" w:fill="CFDBF0" w:themeFill="accent1" w:themeFillTint="40"/>
      </w:tcPr>
    </w:tblStylePr>
    <w:tblStylePr w:type="band1Horz">
      <w:rPr>
        <w:color w:val="254175" w:themeColor="accent1" w:themeShade="95"/>
        <w:sz w:val="22"/>
      </w:rPr>
      <w:tblPr/>
      <w:tcPr>
        <w:shd w:val="clear" w:color="FFFFFF" w:fill="CFDBF0" w:themeFill="accent1" w:themeFillTint="40"/>
      </w:tcPr>
    </w:tblStylePr>
    <w:tblStylePr w:type="band2Horz">
      <w:rPr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FFFFFF" w:fill="D5E5F4" w:themeFill="accent5" w:themeFillTint="40"/>
      </w:tcPr>
    </w:tblStylePr>
    <w:tblStylePr w:type="band1Horz">
      <w:rPr>
        <w:color w:val="9BC2E5" w:themeColor="accent5" w:themeTint="9A" w:themeShade="95"/>
        <w:sz w:val="22"/>
      </w:rPr>
      <w:tblPr/>
      <w:tcPr>
        <w:shd w:val="clear" w:color="FFFFFF" w:fill="D5E5F4" w:themeFill="accent5" w:themeFillTint="40"/>
      </w:tcPr>
    </w:tblStylePr>
    <w:tblStylePr w:type="band2Horz">
      <w:rPr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000000" w:themeColor="text1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000000" w:themeColor="tex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CFDBF0" w:themeFill="accent1" w:themeFillTint="40"/>
      </w:tcPr>
    </w:tblStylePr>
    <w:tblStylePr w:type="band1Horz">
      <w:rPr>
        <w:color w:val="254175" w:themeColor="accent1" w:themeShade="95"/>
        <w:sz w:val="22"/>
      </w:rPr>
      <w:tblPr/>
      <w:tcPr>
        <w:shd w:val="clear" w:color="FFFFFF" w:fill="CFDBF0" w:themeFill="accent1" w:themeFillTint="40"/>
      </w:tcPr>
    </w:tblStylePr>
    <w:tblStylePr w:type="band2Horz">
      <w:rPr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ED7D31" w:themeColor="accent2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ED7D31" w:themeColor="accent2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C000" w:themeColor="accent4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C000" w:themeColor="accent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5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9BC2E5" w:themeColor="accent5" w:themeTint="9A" w:themeShade="95"/>
        <w:sz w:val="22"/>
      </w:rPr>
      <w:tblPr/>
      <w:tcPr>
        <w:tcBorders>
          <w:top w:val="single" w:sz="4" w:space="0" w:color="5B9BD5" w:themeColor="accent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5"/>
        </w:tcBorders>
        <w:shd w:val="clear" w:color="FFFFFF" w:fill="auto"/>
      </w:tcPr>
    </w:tblStylePr>
    <w:tblStylePr w:type="lastCol">
      <w:rPr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5B9BD5" w:themeColor="accent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D5E5F4" w:themeFill="accent5" w:themeFillTint="40"/>
      </w:tcPr>
    </w:tblStylePr>
    <w:tblStylePr w:type="band1Horz">
      <w:rPr>
        <w:color w:val="9BC2E5" w:themeColor="accent5" w:themeTint="9A" w:themeShade="95"/>
        <w:sz w:val="22"/>
      </w:rPr>
      <w:tblPr/>
      <w:tcPr>
        <w:shd w:val="clear" w:color="FFFFFF" w:fill="D5E5F4" w:themeFill="accent5" w:themeFillTint="40"/>
      </w:tcPr>
    </w:tblStylePr>
    <w:tblStylePr w:type="band2Horz">
      <w:rPr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0AD47" w:themeColor="accent6"/>
          <w:right w:val="none" w:sz="0" w:space="0" w:color="00000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70AD47" w:themeColor="accent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537DC8" w:themeFill="accent1" w:themeFillTint="EA"/>
      </w:tcPr>
    </w:tblStylePr>
    <w:tblStylePr w:type="lastRow">
      <w:rPr>
        <w:sz w:val="22"/>
      </w:rPr>
      <w:tblPr/>
      <w:tcPr>
        <w:shd w:val="clear" w:color="FFFFFF" w:fill="537DC8" w:themeFill="accent1" w:themeFillTint="EA"/>
      </w:tcPr>
    </w:tblStylePr>
    <w:tblStylePr w:type="firstCol">
      <w:rPr>
        <w:sz w:val="22"/>
      </w:rPr>
      <w:tblPr/>
      <w:tcPr>
        <w:shd w:val="clear" w:color="FFFFFF" w:fill="537DC8" w:themeFill="accent1" w:themeFillTint="EA"/>
      </w:tcPr>
    </w:tblStylePr>
    <w:tblStylePr w:type="lastCol">
      <w:rPr>
        <w:sz w:val="22"/>
      </w:rPr>
      <w:tblPr/>
      <w:tcPr>
        <w:shd w:val="clear" w:color="FFFFFF" w:fill="537DC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4D2EC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5B9BD5" w:themeFill="accent5"/>
      </w:tcPr>
    </w:tblStylePr>
    <w:tblStylePr w:type="lastRow">
      <w:rPr>
        <w:sz w:val="22"/>
      </w:rPr>
      <w:tblPr/>
      <w:tcPr>
        <w:shd w:val="clear" w:color="FFFFFF" w:fill="5B9BD5" w:themeFill="accent5"/>
      </w:tcPr>
    </w:tblStylePr>
    <w:tblStylePr w:type="firstCol">
      <w:rPr>
        <w:sz w:val="22"/>
      </w:rPr>
      <w:tblPr/>
      <w:tcPr>
        <w:shd w:val="clear" w:color="FFFFFF" w:fill="5B9BD5" w:themeFill="accent5"/>
      </w:tcPr>
    </w:tblStylePr>
    <w:tblStylePr w:type="lastCol">
      <w:rPr>
        <w:sz w:val="22"/>
      </w:rPr>
      <w:tblPr/>
      <w:tcPr>
        <w:shd w:val="clear" w:color="FFFFFF" w:fill="5B9BD5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DEAF6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</w:tblPr>
    <w:tblStylePr w:type="firstRow">
      <w:rPr>
        <w:sz w:val="22"/>
      </w:rPr>
      <w:tblPr/>
      <w:tcPr>
        <w:shd w:val="clear" w:color="FFFFFF" w:fill="537DC8" w:themeFill="accent1" w:themeFillTint="EA"/>
      </w:tcPr>
    </w:tblStylePr>
    <w:tblStylePr w:type="lastRow">
      <w:rPr>
        <w:sz w:val="22"/>
      </w:rPr>
      <w:tblPr/>
      <w:tcPr>
        <w:shd w:val="clear" w:color="FFFFFF" w:fill="537DC8" w:themeFill="accent1" w:themeFillTint="EA"/>
      </w:tcPr>
    </w:tblStylePr>
    <w:tblStylePr w:type="firstCol">
      <w:rPr>
        <w:sz w:val="22"/>
      </w:rPr>
      <w:tblPr/>
      <w:tcPr>
        <w:shd w:val="clear" w:color="FFFFFF" w:fill="537DC8" w:themeFill="accent1" w:themeFillTint="EA"/>
      </w:tcPr>
    </w:tblStylePr>
    <w:tblStylePr w:type="lastCol">
      <w:rPr>
        <w:sz w:val="22"/>
      </w:rPr>
      <w:tblPr/>
      <w:tcPr>
        <w:shd w:val="clear" w:color="FFFFFF" w:fill="537DC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4D2EC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sz w:val="22"/>
      </w:rPr>
      <w:tblPr/>
      <w:tcPr>
        <w:shd w:val="clear" w:color="FFFFFF" w:fill="5B9BD5" w:themeFill="accent5"/>
      </w:tcPr>
    </w:tblStylePr>
    <w:tblStylePr w:type="lastRow">
      <w:rPr>
        <w:sz w:val="22"/>
      </w:rPr>
      <w:tblPr/>
      <w:tcPr>
        <w:shd w:val="clear" w:color="FFFFFF" w:fill="5B9BD5" w:themeFill="accent5"/>
      </w:tcPr>
    </w:tblStylePr>
    <w:tblStylePr w:type="firstCol">
      <w:rPr>
        <w:sz w:val="22"/>
      </w:rPr>
      <w:tblPr/>
      <w:tcPr>
        <w:shd w:val="clear" w:color="FFFFFF" w:fill="5B9BD5" w:themeFill="accent5"/>
      </w:tcPr>
    </w:tblStylePr>
    <w:tblStylePr w:type="lastCol">
      <w:rPr>
        <w:sz w:val="22"/>
      </w:rPr>
      <w:tblPr/>
      <w:tcPr>
        <w:shd w:val="clear" w:color="FFFFFF" w:fill="5B9BD5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DEAF6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sz w:val="22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5B9BD5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5B9BD5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424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Пчелинцев Роман Иванович</dc:creator>
  <dc:description/>
  <cp:lastModifiedBy>Роман</cp:lastModifiedBy>
  <cp:revision>3</cp:revision>
  <dcterms:created xsi:type="dcterms:W3CDTF">2026-05-26T05:02:00Z</dcterms:created>
  <dcterms:modified xsi:type="dcterms:W3CDTF">2026-05-26T05:03:00Z</dcterms:modified>
  <dc:language>ru-RU</dc:language>
</cp:coreProperties>
</file>