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spacing w:after="240" w:before="240" w:lineRule="auto"/>
        <w:rPr>
          <w:b w:val="1"/>
          <w:bCs w:val="1"/>
          <w:sz w:val="44"/>
          <w:szCs w:val="44"/>
        </w:rPr>
      </w:pPr>
      <w:r w:rsidDel="00000000" w:rsidR="00000000" w:rsidRPr="00000000">
        <w:rPr>
          <w:b w:val="1"/>
          <w:bCs w:val="1"/>
          <w:sz w:val="44"/>
          <w:szCs w:val="44"/>
          <w:rtl w:val="0"/>
        </w:rPr>
        <w:t xml:space="preserve">Рост одобрения ипотечных заявок для индивидуальных предпринимателей</w:t>
      </w:r>
    </w:p>
    <w:p w:rsidR="00000000" w:rsidDel="00000000" w:rsidP="00000000" w:rsidRDefault="00000000" w:rsidRPr="00000000" w14:paraId="00000002">
      <w:pPr>
        <w:spacing w:after="240" w:before="240" w:lineRule="auto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Банки-партнеры Новгородского областного Фонда по ипотечному жилищному кредитованию фиксируют существенный рост количества одобрений ипотечных заявок от индивидуальных предпринимателей. Вероятность получения положительного решения по данной категории заемщиков заметно увеличилась по сравнению с предыдущими периодами.</w:t>
      </w:r>
    </w:p>
    <w:p w:rsidR="00000000" w:rsidDel="00000000" w:rsidP="00000000" w:rsidRDefault="00000000" w:rsidRPr="00000000" w14:paraId="00000003">
      <w:pPr>
        <w:spacing w:after="240" w:before="240" w:lineRule="auto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Ранее индивидуальные предприниматели традиционно относились к категории клиентов с повышенным уровнем оценки риска из-за нестабильности доходов и особенностей налогового учета. В текущих условиях подход банков становится более гибким: при подтвержденной финансовой устойчивости и прозрачной деятельности предприниматели все чаще получают одобрение наравне с наемными работниками.</w:t>
      </w:r>
    </w:p>
    <w:p w:rsidR="00000000" w:rsidDel="00000000" w:rsidP="00000000" w:rsidRDefault="00000000" w:rsidRPr="00000000" w14:paraId="00000004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2b6xvbe48lye" w:id="0"/>
      <w:bookmarkEnd w:id="0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Влияние на рынок недвижимости и ипотечного кредитования Новгородской области</w:t>
      </w:r>
    </w:p>
    <w:p w:rsidR="00000000" w:rsidDel="00000000" w:rsidP="00000000" w:rsidRDefault="00000000" w:rsidRPr="00000000" w14:paraId="00000005">
      <w:pPr>
        <w:spacing w:after="240" w:before="240" w:lineRule="auto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Рост числа одобрений для предпринимателей расширяет круг активных участников рынка недвижимости. Для региональной экономики это особенно важно, поскольку сегмент малого бизнеса и самозанятости занимает значительную долю в структуре занятости.</w:t>
      </w:r>
    </w:p>
    <w:p w:rsidR="00000000" w:rsidDel="00000000" w:rsidP="00000000" w:rsidRDefault="00000000" w:rsidRPr="00000000" w14:paraId="00000006">
      <w:pPr>
        <w:spacing w:after="240" w:before="240" w:lineRule="auto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Увеличение доступности ипотеки для индивидуальных предпринимателей формирует дополнительный платежеспособный спрос как на первичном, так и на вторичном рынке жилья. Одновременно это способствует более равномерному распределению ипотечного спроса между различными категориями заемщиков.</w:t>
      </w:r>
    </w:p>
    <w:p w:rsidR="00000000" w:rsidDel="00000000" w:rsidP="00000000" w:rsidRDefault="00000000" w:rsidRPr="00000000" w14:paraId="00000007">
      <w:pPr>
        <w:spacing w:after="240" w:before="240" w:lineRule="auto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Для ипотечного рынка Новгородской области данная тенденция означает постепенное смягчение избыточно консервативных подходов к оценке клиентов. Банки начинают активнее учитывать фактическую финансовую устойчивость бизнеса, а не только форму занятости заемщика.</w:t>
      </w:r>
    </w:p>
    <w:p w:rsidR="00000000" w:rsidDel="00000000" w:rsidP="00000000" w:rsidRDefault="00000000" w:rsidRPr="00000000" w14:paraId="00000008">
      <w:pPr>
        <w:spacing w:after="240" w:before="240" w:lineRule="auto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В результате рынок ипотечного кредитования становится более гибким и адаптированным к реальной структуре современной экономики, где значительная часть граждан получает доход через предпринимательскую деятельность.</w:t>
      </w:r>
    </w:p>
    <w:p w:rsidR="00000000" w:rsidDel="00000000" w:rsidP="00000000" w:rsidRDefault="00000000" w:rsidRPr="00000000" w14:paraId="00000009">
      <w:pPr>
        <w:spacing w:after="240" w:before="240" w:lineRule="auto"/>
        <w:rPr>
          <w:b w:val="1"/>
          <w:bCs w:val="1"/>
          <w:sz w:val="44"/>
          <w:szCs w:val="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240" w:before="240" w:lineRule="auto"/>
        <w:rPr>
          <w:b w:val="1"/>
          <w:bCs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