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Изменение структуры ипотечного спроса: смещение в сторону вторичного рынка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 фоне сокращения возможностей оформления льготной ипотеки наблюдается изменение структуры ипотечного спроса. Доля кредитов, выданных на приобретение жилья в новостройках, постепенно снижается, в то время как сегмент вторичного рынка, напротив, демонстрирует рост.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Дополнительно фиксируется снижение среднего размера ипотечного кредита — в настоящее время он составляет около 3,2 млн рублей. Это свидетельствует о более сдержанном поведении заемщиков и ориентации на объекты с более доступной стоимостью.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данных условиях Новгородский областной Фонд по ипотечному жилищному кредитованию продолжает обеспечивать доступность ипотечных продуктов, в том числе на вторичном рынке жилья, через взаимодействие с банками-партнерами и реализацию действующих программ.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color w:val="000000"/>
          <w:sz w:val="26"/>
          <w:szCs w:val="26"/>
        </w:rPr>
      </w:pPr>
      <w:bookmarkStart w:colFirst="0" w:colLast="0" w:name="_i6ucrkehsqht" w:id="0"/>
      <w:bookmarkEnd w:id="0"/>
      <w:r w:rsidDel="00000000" w:rsidR="00000000" w:rsidRPr="00000000">
        <w:rPr>
          <w:color w:val="000000"/>
          <w:sz w:val="26"/>
          <w:szCs w:val="26"/>
          <w:rtl w:val="0"/>
        </w:rPr>
        <w:t xml:space="preserve">Влияние на рынок недвижимости и ипотечного кредитования Новгородской области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Смещение спроса в сторону вторичного рынка формирует более сбалансированную структуру сделок. При ограниченной доступности льготных программ на первичном рынке, вторичное жилье становится альтернативой для значительной части заемщиков.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Происходит адаптация спроса к текущим условиям: покупатели выбирают более доступные объекты либо увеличивают долю собственных средств. Это снижает долговую нагрузку и повышает устойчивость заемщиков.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совокупности данные процессы свидетельствуют о переходе рынка к более рациональной модели поведения. Рынок недвижимости Новгородской области сохраняет активность за счет перераспределения спроса между сегментами, а ипотечное кредитование продолжает выполнять свою базовую функцию — обеспечение сделок с жильем в изменяющихся экономических условиях.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