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587FB" w14:textId="77777777" w:rsidR="0000289F" w:rsidRDefault="0000289F">
      <w:pPr>
        <w:pStyle w:val="ConsPlusTitle"/>
        <w:jc w:val="center"/>
        <w:rPr>
          <w:rFonts w:ascii="Times New Roman" w:hAnsi="Times New Roman" w:cs="Times New Roman"/>
        </w:rPr>
      </w:pPr>
    </w:p>
    <w:p w14:paraId="408E986D" w14:textId="77777777" w:rsidR="0000289F" w:rsidRDefault="0000289F">
      <w:pPr>
        <w:pStyle w:val="ConsPlusTitle"/>
        <w:jc w:val="center"/>
        <w:rPr>
          <w:rFonts w:ascii="Times New Roman" w:hAnsi="Times New Roman" w:cs="Times New Roman"/>
        </w:rPr>
      </w:pPr>
    </w:p>
    <w:p w14:paraId="397A6B2F" w14:textId="77777777" w:rsidR="0000289F" w:rsidRDefault="0000289F">
      <w:pPr>
        <w:pStyle w:val="ConsPlusTitle"/>
        <w:jc w:val="center"/>
        <w:rPr>
          <w:rFonts w:ascii="Times New Roman" w:hAnsi="Times New Roman" w:cs="Times New Roman"/>
        </w:rPr>
      </w:pPr>
    </w:p>
    <w:p w14:paraId="286EBEE5" w14:textId="77777777" w:rsidR="0000289F" w:rsidRDefault="0000289F">
      <w:pPr>
        <w:pStyle w:val="ConsPlusTitle"/>
        <w:jc w:val="center"/>
        <w:rPr>
          <w:rFonts w:ascii="Times New Roman" w:hAnsi="Times New Roman" w:cs="Times New Roman"/>
        </w:rPr>
      </w:pPr>
    </w:p>
    <w:p w14:paraId="3B9E2258" w14:textId="77777777" w:rsidR="0000289F" w:rsidRDefault="0000289F">
      <w:pPr>
        <w:pStyle w:val="ConsPlusTitle"/>
        <w:jc w:val="center"/>
        <w:rPr>
          <w:rFonts w:ascii="Times New Roman" w:hAnsi="Times New Roman" w:cs="Times New Roman"/>
        </w:rPr>
      </w:pPr>
    </w:p>
    <w:p w14:paraId="3C986AED" w14:textId="77777777" w:rsidR="0000289F" w:rsidRDefault="0000289F">
      <w:pPr>
        <w:pStyle w:val="ConsPlusTitle"/>
        <w:jc w:val="center"/>
        <w:rPr>
          <w:rFonts w:ascii="Times New Roman" w:hAnsi="Times New Roman" w:cs="Times New Roman"/>
        </w:rPr>
      </w:pPr>
    </w:p>
    <w:p w14:paraId="3E4AE196" w14:textId="77777777" w:rsidR="0000289F" w:rsidRDefault="0000289F">
      <w:pPr>
        <w:pStyle w:val="ConsPlusTitle"/>
        <w:jc w:val="center"/>
        <w:rPr>
          <w:rFonts w:ascii="Times New Roman" w:hAnsi="Times New Roman" w:cs="Times New Roman"/>
        </w:rPr>
      </w:pPr>
    </w:p>
    <w:p w14:paraId="59BD0903" w14:textId="77777777" w:rsidR="0000289F" w:rsidRDefault="0000289F">
      <w:pPr>
        <w:pStyle w:val="ConsPlusTitle"/>
        <w:jc w:val="center"/>
        <w:rPr>
          <w:rFonts w:ascii="Times New Roman" w:hAnsi="Times New Roman" w:cs="Times New Roman"/>
        </w:rPr>
      </w:pPr>
    </w:p>
    <w:p w14:paraId="440FA9E8" w14:textId="77777777" w:rsidR="0000289F" w:rsidRDefault="0000289F">
      <w:pPr>
        <w:pStyle w:val="ConsPlusTitle"/>
        <w:jc w:val="center"/>
        <w:rPr>
          <w:rFonts w:ascii="Times New Roman" w:hAnsi="Times New Roman" w:cs="Times New Roman"/>
        </w:rPr>
      </w:pPr>
    </w:p>
    <w:p w14:paraId="27F5FFC0" w14:textId="77777777" w:rsidR="0000289F" w:rsidRDefault="0000289F">
      <w:pPr>
        <w:pStyle w:val="ConsPlusTitle"/>
        <w:jc w:val="center"/>
        <w:rPr>
          <w:rFonts w:ascii="Times New Roman" w:hAnsi="Times New Roman" w:cs="Times New Roman"/>
        </w:rPr>
      </w:pPr>
    </w:p>
    <w:p w14:paraId="236133C1" w14:textId="77777777" w:rsidR="0000289F" w:rsidRDefault="0000289F">
      <w:pPr>
        <w:pStyle w:val="ConsPlusTitle"/>
        <w:jc w:val="center"/>
        <w:rPr>
          <w:rFonts w:ascii="Times New Roman" w:hAnsi="Times New Roman" w:cs="Times New Roman"/>
        </w:rPr>
      </w:pPr>
    </w:p>
    <w:p w14:paraId="630B4622" w14:textId="77777777" w:rsidR="0000289F" w:rsidRDefault="0000289F">
      <w:pPr>
        <w:pStyle w:val="ConsPlusTitle"/>
        <w:jc w:val="center"/>
        <w:rPr>
          <w:rFonts w:ascii="Times New Roman" w:hAnsi="Times New Roman" w:cs="Times New Roman"/>
        </w:rPr>
      </w:pPr>
    </w:p>
    <w:p w14:paraId="428E6A15" w14:textId="77777777" w:rsidR="0000289F" w:rsidRDefault="0000289F">
      <w:pPr>
        <w:pStyle w:val="ConsPlusTitle"/>
        <w:jc w:val="center"/>
        <w:rPr>
          <w:rFonts w:ascii="Times New Roman" w:hAnsi="Times New Roman" w:cs="Times New Roman"/>
        </w:rPr>
      </w:pPr>
    </w:p>
    <w:p w14:paraId="6C887866" w14:textId="77777777" w:rsidR="0000289F" w:rsidRDefault="0000289F">
      <w:pPr>
        <w:pStyle w:val="ConsPlusTitle"/>
        <w:jc w:val="center"/>
        <w:rPr>
          <w:rFonts w:ascii="Times New Roman" w:hAnsi="Times New Roman" w:cs="Times New Roman"/>
        </w:rPr>
      </w:pPr>
    </w:p>
    <w:p w14:paraId="4A7FD9EA" w14:textId="77777777" w:rsidR="0000289F" w:rsidRDefault="0000289F">
      <w:pPr>
        <w:pStyle w:val="ConsPlusTitle"/>
        <w:jc w:val="center"/>
        <w:rPr>
          <w:rFonts w:ascii="Times New Roman" w:hAnsi="Times New Roman" w:cs="Times New Roman"/>
        </w:rPr>
      </w:pPr>
    </w:p>
    <w:p w14:paraId="25D7BF66" w14:textId="77777777" w:rsidR="0000289F" w:rsidRDefault="0000289F">
      <w:pPr>
        <w:pStyle w:val="ConsPlusTitle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0D67A47" w14:textId="77777777" w:rsidR="00243B8C" w:rsidRDefault="00243B8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Требований к прогнозированию потребления </w:t>
      </w:r>
    </w:p>
    <w:p w14:paraId="1F1DE7E9" w14:textId="77777777" w:rsidR="0000289F" w:rsidRDefault="00243B8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формированию балансов электрической энергии и мощности энергосистемы на календарный год и периоды в пределах года</w:t>
      </w:r>
    </w:p>
    <w:p w14:paraId="5956A19F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B8331A4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абзацем четвертым пункта 2 статьи 21, абзацами четвертым и пятым </w:t>
      </w:r>
      <w:hyperlink r:id="rId8" w:tooltip="https://login.consultant.ru/link/?req=doc&amp;base=LAW&amp;n=483415&amp;dst=316" w:history="1">
        <w:r>
          <w:rPr>
            <w:rFonts w:ascii="Times New Roman" w:hAnsi="Times New Roman" w:cs="Times New Roman"/>
            <w:sz w:val="28"/>
            <w:szCs w:val="28"/>
          </w:rPr>
          <w:t>пункта 2 статьи 28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26 марта           2003 г. № 35-ФЗ «Об электроэнергетике», </w:t>
      </w:r>
      <w:hyperlink r:id="rId9" w:tooltip="https://login.consultant.ru/link/?req=doc&amp;base=LAW&amp;n=451041&amp;dst=100183" w:history="1">
        <w:r>
          <w:rPr>
            <w:rFonts w:ascii="Times New Roman" w:hAnsi="Times New Roman" w:cs="Times New Roman"/>
            <w:sz w:val="28"/>
            <w:szCs w:val="28"/>
          </w:rPr>
          <w:t>подпунктом 4.2.14</w:t>
        </w:r>
        <w:r>
          <w:rPr>
            <w:rFonts w:ascii="Times New Roman" w:hAnsi="Times New Roman" w:cs="Times New Roman"/>
            <w:sz w:val="28"/>
            <w:szCs w:val="28"/>
            <w:vertAlign w:val="superscript"/>
          </w:rPr>
          <w:t>21</w:t>
        </w:r>
        <w:r>
          <w:rPr>
            <w:rFonts w:ascii="Times New Roman" w:hAnsi="Times New Roman" w:cs="Times New Roman"/>
            <w:sz w:val="28"/>
            <w:szCs w:val="28"/>
          </w:rPr>
          <w:t xml:space="preserve"> пункта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Положения о Министерстве энергетики Российской Федерации, утвержденного постановлением Правительства Российской Федерации от 28 мая 2008 г. № 400, </w:t>
      </w:r>
      <w:hyperlink r:id="rId10" w:tooltip="https://login.consultant.ru/link/?req=doc&amp;base=LAW&amp;n=495190&amp;dst=100006" w:history="1">
        <w:r>
          <w:rPr>
            <w:rFonts w:ascii="Times New Roman" w:hAnsi="Times New Roman" w:cs="Times New Roman"/>
            <w:sz w:val="28"/>
            <w:szCs w:val="28"/>
          </w:rPr>
          <w:t>пунктом «а» пункта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постановления Правительства Российской Федерации от 2 марта 2017 г. № 244 «О совершенствовании требований к обеспечению надежности и безопасности электроэнергетических систем и объектов электроэнергетики и внесении изменений в некоторые акты Правительства Российской Федерации» и абзацем шестым </w:t>
      </w:r>
      <w:hyperlink r:id="rId11" w:tooltip="https://login.consultant.ru/link/?req=doc&amp;base=LAW&amp;n=509574&amp;dst=100015" w:history="1">
        <w:r>
          <w:rPr>
            <w:rFonts w:ascii="Times New Roman" w:hAnsi="Times New Roman" w:cs="Times New Roman"/>
            <w:sz w:val="28"/>
            <w:szCs w:val="28"/>
          </w:rPr>
          <w:t>подпункта «б» пункта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постановления Правительства Российской Федерации от 13 августа 2018 г. № 937 «Об утверждении Правил технологического функционирования электроэнергетических систем и о внесении изменений в некоторые акты Правительства Российской Федерации» приказываю:</w:t>
      </w:r>
    </w:p>
    <w:p w14:paraId="23145B76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hyperlink w:anchor="P29" w:tooltip="#P29" w:history="1">
        <w:r>
          <w:rPr>
            <w:rFonts w:ascii="Times New Roman" w:hAnsi="Times New Roman" w:cs="Times New Roman"/>
            <w:sz w:val="28"/>
            <w:szCs w:val="28"/>
          </w:rPr>
          <w:t>Требования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прогнозированию потребления и формированию балансов электрической энергии и мощности энергосистемы на календарный год и периоды в пределах года.</w:t>
      </w:r>
    </w:p>
    <w:p w14:paraId="5F059382" w14:textId="77777777" w:rsidR="0000289F" w:rsidRDefault="00243B8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Признать утратившим силу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риказ Минэнерго России от 11 февраля 2019 г. № 91 «Об утверждении требований к прогнозированию потребления и формированию балансов электрической энергии и мощности энергосистемы на календарный год и периоды в пределах года»</w:t>
      </w:r>
      <w:r>
        <w:rPr>
          <w:rStyle w:val="FootnoteReference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"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3F8D3AA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BDD211D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D4C0EDB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9E2BFAD" w14:textId="0FB71A6D" w:rsidR="0000289F" w:rsidRDefault="00243B8C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Министр                                                      </w:t>
      </w:r>
      <w:r w:rsidR="002430D7"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С.Е. Цивилев</w:t>
      </w:r>
      <w:r>
        <w:rPr>
          <w:rFonts w:ascii="Times New Roman" w:hAnsi="Times New Roman" w:cs="Times New Roman"/>
        </w:rPr>
        <w:t xml:space="preserve"> </w:t>
      </w:r>
    </w:p>
    <w:p w14:paraId="1AE01AB4" w14:textId="77777777" w:rsidR="0000289F" w:rsidRDefault="0000289F">
      <w:pPr>
        <w:pStyle w:val="ConsPlusNormal"/>
        <w:jc w:val="both"/>
        <w:rPr>
          <w:rFonts w:ascii="Times New Roman" w:hAnsi="Times New Roman" w:cs="Times New Roman"/>
        </w:rPr>
      </w:pPr>
    </w:p>
    <w:p w14:paraId="226D307A" w14:textId="77777777" w:rsidR="0000289F" w:rsidRDefault="0000289F">
      <w:pPr>
        <w:pStyle w:val="ConsPlusNormal"/>
        <w:jc w:val="both"/>
        <w:rPr>
          <w:rFonts w:ascii="Times New Roman" w:hAnsi="Times New Roman" w:cs="Times New Roman"/>
        </w:rPr>
      </w:pPr>
    </w:p>
    <w:p w14:paraId="51E97DEE" w14:textId="77777777" w:rsidR="0000289F" w:rsidRDefault="0000289F">
      <w:pPr>
        <w:pStyle w:val="ConsPlusNormal"/>
        <w:jc w:val="both"/>
        <w:rPr>
          <w:rFonts w:ascii="Times New Roman" w:hAnsi="Times New Roman" w:cs="Times New Roman"/>
        </w:rPr>
      </w:pPr>
    </w:p>
    <w:p w14:paraId="0590E37D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273E597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33B87A7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DCFFB8B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EF1D03A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DCDF48C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12B7089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A88EACC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1A46256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A5D48FE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7C62A9E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85DA9EB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C4C70E4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B93B07A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BE5DD09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C5D7C41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974CF96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14C7EA5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EA3288D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457944D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EE0FC5B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83DF33F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BA9769A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F37CD0F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AC28D7E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4BAFAD4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43591F9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62DDA24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8168B5E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3ED6B64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63DB7CA" w14:textId="77777777" w:rsidR="0000289F" w:rsidRDefault="00243B8C">
      <w:pPr>
        <w:pStyle w:val="ConsPlusNormal"/>
        <w:ind w:left="552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Утверждены</w:t>
      </w:r>
    </w:p>
    <w:p w14:paraId="18C09FC5" w14:textId="77777777" w:rsidR="0000289F" w:rsidRDefault="00243B8C">
      <w:pPr>
        <w:pStyle w:val="ConsPlusNormal"/>
        <w:ind w:left="552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приказом Минэнерго России</w:t>
      </w:r>
    </w:p>
    <w:p w14:paraId="30BE04CF" w14:textId="77777777" w:rsidR="0000289F" w:rsidRDefault="00243B8C">
      <w:pPr>
        <w:pStyle w:val="ConsPlusNormal"/>
        <w:ind w:left="552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 № _________</w:t>
      </w:r>
    </w:p>
    <w:p w14:paraId="04CB548A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776F5B9" w14:textId="77777777" w:rsidR="0000289F" w:rsidRDefault="00243B8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</w:t>
      </w:r>
    </w:p>
    <w:p w14:paraId="79BD6789" w14:textId="77777777" w:rsidR="0000289F" w:rsidRDefault="00243B8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 прогнозированию потребления и формированию балансов электрической энергии и мощности энергосистемы на календарный год и периоды в пределах года</w:t>
      </w:r>
    </w:p>
    <w:p w14:paraId="7239EED9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38CF33E" w14:textId="77777777" w:rsidR="0000289F" w:rsidRDefault="00243B8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I. Общие положения</w:t>
      </w:r>
    </w:p>
    <w:p w14:paraId="415C6777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0FA272F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Настоящие требования к прогнозированию потребления и формированию балансов электрической энергии и мощности энергосистемы на календарный год и периоды в пределах года устанавливают требования к разработке прогнозных балансов электрической энергии и мощности энергосистемы и требования к прогнозированию потребления электрической энергии и мощности энергосистемы и формированию показателей прогнозных балансов электрической энергии и мощности энергосистемы на календарный год и периоды в пределах года (далее – прогнозные периоды), в том числе определяют требования к составу и порядку получения исходных данных, необходимых для формирования прогнозных балансов электрической энергии и мощности энергосистемы.</w:t>
      </w:r>
    </w:p>
    <w:p w14:paraId="67BDFF94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Действие настоящих требований распространяется на субъекта оперативно-диспетчерского управления в электроэнергетике – системного оператора электроэнергетических систем России (далее – субъект оперативно-диспетчерского управления), а также на иных субъектов электроэнергетики и потребителей электрической энергии в части требований к представлению информации, необходимой для формирования прогнозных балансов электрической энергии и мощности энергосистемы.</w:t>
      </w:r>
    </w:p>
    <w:p w14:paraId="7F02B1DF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56EA170" w14:textId="77777777" w:rsidR="0000289F" w:rsidRDefault="00243B8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Требования к разработке прогнозных балансов</w:t>
      </w:r>
    </w:p>
    <w:p w14:paraId="20340F0B" w14:textId="77777777" w:rsidR="0000289F" w:rsidRDefault="00243B8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электрической энергии и мощности энергосистемы</w:t>
      </w:r>
    </w:p>
    <w:p w14:paraId="0831EC2C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E3DF8EC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Субъект оперативно-диспетчерского управления разрабатывает прогнозные балансы электрической энергии и мощности энергосистемы в </w:t>
      </w:r>
      <w:r>
        <w:rPr>
          <w:rFonts w:ascii="Times New Roman" w:hAnsi="Times New Roman" w:cs="Times New Roman"/>
          <w:sz w:val="28"/>
          <w:szCs w:val="28"/>
        </w:rPr>
        <w:lastRenderedPageBreak/>
        <w:t>отношении территориальных энергосистем, объединенных энергосистем (далее – ОЭС), входящих в Единую энергетическую систему России (далее – ЕЭС России), и ЕЭС России в целом.</w:t>
      </w:r>
    </w:p>
    <w:p w14:paraId="2A8364A1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 оперативно-диспетчерского управления также разрабатывает прогнозные балансы электрической энергии и мощности энергосистемы в отношении технологически изолированных территориальных электроэнергетических систем.</w:t>
      </w:r>
    </w:p>
    <w:p w14:paraId="0DB847BD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территориальная детализация прогнозных балансов электрической энергии и мощности энергосистемы по отдельным энергорайонам территориальных энергосистем выполняется субъектом оперативно-диспетчерского управления в случае, если такая детализация необходима для обеспечения решения задач, указанных в </w:t>
      </w:r>
      <w:hyperlink r:id="rId12" w:tooltip="https://login.consultant.ru/link/?req=doc&amp;base=LAW&amp;n=509574&amp;dst=100318" w:history="1">
        <w:r>
          <w:rPr>
            <w:rFonts w:ascii="Times New Roman" w:hAnsi="Times New Roman" w:cs="Times New Roman"/>
            <w:sz w:val="28"/>
            <w:szCs w:val="28"/>
          </w:rPr>
          <w:t>пункте 61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Правил технологического функционирования электроэнергетических систем, утвержденных постановлением Правительства Российской Федерации от 13 августа 2018 г. № 937 (далее – Правила технологического функционирования электроэнергетических систем), и (или) для разработки и утверждения субъектом оперативно-диспетчерского управления сводных годовых и месячных графиков ремонта объектов диспетчеризации (далее – сводный годовой (месячный) график ремонтов) в соответствии с </w:t>
      </w:r>
      <w:hyperlink r:id="rId13" w:tooltip="https://login.consultant.ru/link/?req=doc&amp;base=LAW&amp;n=306350&amp;dst=16" w:history="1">
        <w:r>
          <w:rPr>
            <w:rFonts w:ascii="Times New Roman" w:hAnsi="Times New Roman" w:cs="Times New Roman"/>
            <w:sz w:val="28"/>
            <w:szCs w:val="28"/>
          </w:rPr>
          <w:t>Правилами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вывода объектов электроэнергетики в ремонт и из эксплуатации, утвержденными постановлением Правительства Российской Федерации от 30 января 2021 г. № 86 (далее – Правила вывода в ремонт и из эксплуатации).</w:t>
      </w:r>
    </w:p>
    <w:p w14:paraId="71A4C991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Прогнозные балансы электрической энергии и мощности энергосистемы должны разрабатываться на следующие прогнозные периоды:</w:t>
      </w:r>
    </w:p>
    <w:p w14:paraId="59D5AA73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46"/>
      <w:bookmarkEnd w:id="1"/>
      <w:r>
        <w:rPr>
          <w:rFonts w:ascii="Times New Roman" w:hAnsi="Times New Roman" w:cs="Times New Roman"/>
          <w:sz w:val="28"/>
          <w:szCs w:val="28"/>
        </w:rPr>
        <w:t>а) прогнозный баланс электрической энергии и прогнозный баланс мощности энергосистемы на предстоящий календарный год (далее – баланс электрической энергии (мощности) на год);</w:t>
      </w:r>
    </w:p>
    <w:p w14:paraId="74F8D178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прогнозный баланс электрической энергии энергосистемы на период с октября текущего года по март следующего года включительно;</w:t>
      </w:r>
    </w:p>
    <w:p w14:paraId="0888E4AE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прогнозный баланс мощности энергосистемы на период с декабря </w:t>
      </w:r>
      <w:r>
        <w:rPr>
          <w:rFonts w:ascii="Times New Roman" w:hAnsi="Times New Roman" w:cs="Times New Roman"/>
          <w:sz w:val="28"/>
          <w:szCs w:val="28"/>
        </w:rPr>
        <w:lastRenderedPageBreak/>
        <w:t>текущего года по февраль следующего года включительно (далее – баланс мощности на зимний период);</w:t>
      </w:r>
    </w:p>
    <w:p w14:paraId="06B992E6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49"/>
      <w:bookmarkEnd w:id="2"/>
      <w:r>
        <w:rPr>
          <w:rFonts w:ascii="Times New Roman" w:hAnsi="Times New Roman" w:cs="Times New Roman"/>
          <w:sz w:val="28"/>
          <w:szCs w:val="28"/>
        </w:rPr>
        <w:t>г) прогнозный баланс мощности энергосистемы на период экстремально высоких температур наружного воздуха, включающий июнь, июль и август текущего года (далее – баланс мощности на ПЭВТ);</w:t>
      </w:r>
    </w:p>
    <w:p w14:paraId="18453110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 прогнозный баланс электрической энергии и прогнозный баланс мощности энергосистемы на предстоящий календарный месяц (далее – баланс электрической энергии (мощности) на месяц).</w:t>
      </w:r>
    </w:p>
    <w:p w14:paraId="3177EC6F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Прогнозные балансы электрической энергии и мощности энергосистемы должны разрабатываться в отношении каждого календарного месяца прогнозных периодов, указанных в  пункте 4 настоящих требований.</w:t>
      </w:r>
    </w:p>
    <w:p w14:paraId="60B62BF3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Прогнозные балансы электрической энергии и мощности энергосистемы на прогнозные периоды, указанные в пункте 4 настоящих требований, должны разрабатываться для условий, указанных в </w:t>
      </w:r>
      <w:hyperlink r:id="rId14" w:tooltip="https://login.consultant.ru/link/?req=doc&amp;base=LAW&amp;n=509574&amp;dst=100310" w:history="1">
        <w:r>
          <w:rPr>
            <w:rFonts w:ascii="Times New Roman" w:hAnsi="Times New Roman" w:cs="Times New Roman"/>
            <w:sz w:val="28"/>
            <w:szCs w:val="28"/>
          </w:rPr>
          <w:t>пункте 60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Правил технологического функционирования электроэнергетических систем.</w:t>
      </w:r>
    </w:p>
    <w:p w14:paraId="47C0EA02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разработке указанных прогнозных балансов электрической энергии и мощности энергосистемы:</w:t>
      </w:r>
    </w:p>
    <w:p w14:paraId="4EDE3BAC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средней месячной температуры наружного воздуха должна приниматься среднемноголетняя температура наружного воздуха (далее – климатическая норма), определяемая субъектом оперативно-диспетчерского управления для территориальной энергосистемы в соответствии с правилами, применяемым в соответствии с законодательством Российской Федерации о градостроительной деятельности для определения климатических параметров, учитываемых при проектировании зданий и сооружений, планировке и застройке городских и сельских поселений (далее – правила строительной климатологии);</w:t>
      </w:r>
    </w:p>
    <w:p w14:paraId="3EA4135F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качестве средней суточной температуры наружного воздуха в день максимума потребления соответствующего месяца года должно приниматься среднеарифметическое значение среднесуточных температур по территории энергосистемы, зафиксированных в сутки прохождения максимума </w:t>
      </w:r>
      <w:r>
        <w:rPr>
          <w:rFonts w:ascii="Times New Roman" w:hAnsi="Times New Roman" w:cs="Times New Roman"/>
          <w:sz w:val="28"/>
          <w:szCs w:val="28"/>
        </w:rPr>
        <w:lastRenderedPageBreak/>
        <w:t>потребления активной мощности этой энергосистемы в соответствующем месяце за 10 предшествующих лет (далее – средняя температура прохождения максимума);</w:t>
      </w:r>
    </w:p>
    <w:p w14:paraId="3787EDD7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среднесуточной температуры наружного воздуха, соответствующей температуре наиболее холодных 5 суток подряд (пятидневок), должна приниматься температура наиболее холодной пятидневки обеспеченностью 0,92, определяемая субъектом оперативно-диспетчерского управления для территориальной энергосистемы в соответствии с правилами строительной климатологии (далее – температура наиболее холодной пятидневки).</w:t>
      </w:r>
    </w:p>
    <w:p w14:paraId="74BC3222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Баланс электрической энергии энергосистемы на месяц должен разрабатываться в отношении месяцев:</w:t>
      </w:r>
    </w:p>
    <w:p w14:paraId="72DC4B2B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марта по ноябрь – для условий, соответствующих климатической норме;</w:t>
      </w:r>
    </w:p>
    <w:p w14:paraId="083CA48A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декабря текущего года по февраль следующего года включительно – для условий, определенных </w:t>
      </w:r>
      <w:hyperlink r:id="rId15" w:tooltip="https://login.consultant.ru/link/?req=doc&amp;base=LAW&amp;n=509574&amp;dst=100310" w:history="1">
        <w:r>
          <w:rPr>
            <w:rFonts w:ascii="Times New Roman" w:hAnsi="Times New Roman" w:cs="Times New Roman"/>
            <w:sz w:val="28"/>
            <w:szCs w:val="28"/>
          </w:rPr>
          <w:t>пунктом 60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Правил технологического функционирования электроэнергетических систем для соответствующего прогнозного периода.</w:t>
      </w:r>
    </w:p>
    <w:p w14:paraId="1980F59C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Баланс электрической мощности энергосистемы на месяц должен разрабатываться в отношении:</w:t>
      </w:r>
    </w:p>
    <w:p w14:paraId="035B3359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месяцев с марта по май и с сентября по ноябрь – для условий, соответствующих средней температуре прохождения максимума;</w:t>
      </w:r>
    </w:p>
    <w:p w14:paraId="5CCD905B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месяцев с декабря текущего года по февраль следующего года – для условий, соответствующих температуре наиболее холодной пятидневки;</w:t>
      </w:r>
    </w:p>
    <w:p w14:paraId="5527E7A5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июня, июля и августа – для условий, определенных </w:t>
      </w:r>
      <w:hyperlink r:id="rId16" w:tooltip="https://login.consultant.ru/link/?req=doc&amp;base=LAW&amp;n=509574&amp;dst=100310" w:history="1">
        <w:r>
          <w:rPr>
            <w:rFonts w:ascii="Times New Roman" w:hAnsi="Times New Roman" w:cs="Times New Roman"/>
            <w:sz w:val="28"/>
            <w:szCs w:val="28"/>
          </w:rPr>
          <w:t>пунктом 60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Правил технологического функционирования электроэнергетических систем для соответствующего прогнозного периода.</w:t>
      </w:r>
    </w:p>
    <w:p w14:paraId="76EE970E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Прогнозные балансы электрической энергии энергосистемы должны разрабатываться по следующим показателям:</w:t>
      </w:r>
    </w:p>
    <w:p w14:paraId="3A25E66D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65"/>
      <w:bookmarkEnd w:id="3"/>
      <w:r>
        <w:rPr>
          <w:rFonts w:ascii="Times New Roman" w:hAnsi="Times New Roman" w:cs="Times New Roman"/>
          <w:sz w:val="28"/>
          <w:szCs w:val="28"/>
        </w:rPr>
        <w:t xml:space="preserve">а) потребление электрической энергии в границах энергосистемы, </w:t>
      </w:r>
      <w:r>
        <w:rPr>
          <w:rFonts w:ascii="Times New Roman" w:hAnsi="Times New Roman" w:cs="Times New Roman"/>
          <w:sz w:val="28"/>
          <w:szCs w:val="28"/>
        </w:rPr>
        <w:lastRenderedPageBreak/>
        <w:t>включая расход электрической энергии на собственные, производственные и хозяйственные нужды электростанций, систем накопления электрической энергии, предназначенных для выдачи электрической энергии в электрическую сеть в составе электроэнергетической системы (далее – системы накопления электрической энергии), подстанций и расход электрической энергии на ее передачу по электрическим сетям (потери электрической энергии);</w:t>
      </w:r>
    </w:p>
    <w:p w14:paraId="5B05C4A1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66"/>
      <w:bookmarkEnd w:id="4"/>
      <w:r>
        <w:rPr>
          <w:rFonts w:ascii="Times New Roman" w:hAnsi="Times New Roman" w:cs="Times New Roman"/>
          <w:sz w:val="28"/>
          <w:szCs w:val="28"/>
        </w:rPr>
        <w:t>б) производство электрической энергии электростанциями (преобразование накопленной и сохраненной энергии в электрическую энергию системами накопления электрической энергии), функционирующими в составе энергосистемы и планируемыми к вводу в работу в составе энергосистемы до окончания соответствующего прогнозного периода;</w:t>
      </w:r>
    </w:p>
    <w:p w14:paraId="075536F3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67"/>
      <w:bookmarkEnd w:id="5"/>
      <w:r>
        <w:rPr>
          <w:rFonts w:ascii="Times New Roman" w:hAnsi="Times New Roman" w:cs="Times New Roman"/>
          <w:sz w:val="28"/>
          <w:szCs w:val="28"/>
        </w:rPr>
        <w:t>в) сальдо внешних перетоков электрической энергии энергосистемы, включая объемы межгосударственных перетоков электрической энергии.</w:t>
      </w:r>
    </w:p>
    <w:p w14:paraId="6B29AF50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Прогнозные балансы мощности энергосистемы должны разрабатываться по следующим показателям:</w:t>
      </w:r>
    </w:p>
    <w:p w14:paraId="39378241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69"/>
      <w:bookmarkEnd w:id="6"/>
      <w:r>
        <w:rPr>
          <w:rFonts w:ascii="Times New Roman" w:hAnsi="Times New Roman" w:cs="Times New Roman"/>
          <w:sz w:val="28"/>
          <w:szCs w:val="28"/>
        </w:rPr>
        <w:t>а) максимальное потребление мощности в границах энергосистемы, включая потребление мощности на собственные, производственные и хозяйственные нужды электростанций, систем накопления электрической энергии, подстанций и потребление мощности, обусловленное потерями в электрических сетях;</w:t>
      </w:r>
    </w:p>
    <w:p w14:paraId="218CCA90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70"/>
      <w:bookmarkEnd w:id="7"/>
      <w:r>
        <w:rPr>
          <w:rFonts w:ascii="Times New Roman" w:hAnsi="Times New Roman" w:cs="Times New Roman"/>
          <w:sz w:val="28"/>
          <w:szCs w:val="28"/>
        </w:rPr>
        <w:t>б) установленная генерирующая мощность электростанций (установленная (номинальная) мощность в режиме преобразования накопленной и сохраненной энергии в электрическую энергию систем накопления электрической энергии (далее – установленная мощность систем накопления электрической энергии), функционирующих в составе энергосистемы и планируемых к вводу в работу в составе энергосистемы до окончания соответствующего прогнозного периода (далее – установленная мощность энергосистемы);</w:t>
      </w:r>
    </w:p>
    <w:p w14:paraId="3143ACB6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в) располагаемая мощность электростанций (располагаемая мощность в режиме преобразования накопленной и сохраненной энергии в электрическую энергию систем накопления электрической энергии (далее – располагаемая мощность систем накопления электрической энергии), функционирующих в составе энергосистемы и планируемых к вводу в работу в составе энергосистемы до окончания соответствующего прогнозного периода (далее – располагаемая мощность энергосистемы);</w:t>
      </w:r>
    </w:p>
    <w:p w14:paraId="0C459704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72"/>
      <w:bookmarkEnd w:id="8"/>
      <w:r>
        <w:rPr>
          <w:rFonts w:ascii="Times New Roman" w:hAnsi="Times New Roman" w:cs="Times New Roman"/>
          <w:sz w:val="28"/>
          <w:szCs w:val="28"/>
        </w:rPr>
        <w:t>г) рабочая мощность электростанций (рабочая мощность в режиме преобразования накопленной и сохраненной энергии в электрическую энергию систем накопления электрической энергии), функционирующих в составе энергосистемы и планируемых к вводу в работу в составе энергосистемы до окончания соответствующего прогнозного периода (далее – рабочая мощность энергосистемы).</w:t>
      </w:r>
    </w:p>
    <w:p w14:paraId="64BF2036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Определение показателей, указанных в подпункте «а» пункта </w:t>
      </w:r>
      <w:hyperlink w:anchor="P65" w:tooltip="#P65" w:history="1">
        <w:r>
          <w:rPr>
            <w:rFonts w:ascii="Times New Roman" w:hAnsi="Times New Roman" w:cs="Times New Roman"/>
            <w:sz w:val="28"/>
            <w:szCs w:val="28"/>
          </w:rPr>
          <w:t>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69" w:tooltip="#P69" w:history="1">
        <w:r>
          <w:rPr>
            <w:rFonts w:ascii="Times New Roman" w:hAnsi="Times New Roman" w:cs="Times New Roman"/>
            <w:sz w:val="28"/>
            <w:szCs w:val="28"/>
          </w:rPr>
          <w:t>подпункте «а» пункта 10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требований, должно осуществляться в соответствии с </w:t>
      </w:r>
      <w:hyperlink w:anchor="P77" w:tooltip="#P77" w:history="1">
        <w:r>
          <w:rPr>
            <w:rFonts w:ascii="Times New Roman" w:hAnsi="Times New Roman" w:cs="Times New Roman"/>
            <w:sz w:val="28"/>
            <w:szCs w:val="28"/>
          </w:rPr>
          <w:t>главой III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требований.</w:t>
      </w:r>
    </w:p>
    <w:p w14:paraId="13439475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Определение показателей, указанных в </w:t>
      </w:r>
      <w:hyperlink w:anchor="P66" w:tooltip="#P66" w:history="1">
        <w:r>
          <w:rPr>
            <w:rFonts w:ascii="Times New Roman" w:hAnsi="Times New Roman" w:cs="Times New Roman"/>
            <w:sz w:val="28"/>
            <w:szCs w:val="28"/>
          </w:rPr>
          <w:t>подпункте «б» пункта 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подпунктах «б» - «г» пункта 10 настоящих требований, должно осуществляться в соответствии с </w:t>
      </w:r>
      <w:hyperlink w:anchor="P97" w:tooltip="#P97" w:history="1">
        <w:r>
          <w:rPr>
            <w:rFonts w:ascii="Times New Roman" w:hAnsi="Times New Roman" w:cs="Times New Roman"/>
            <w:sz w:val="28"/>
            <w:szCs w:val="28"/>
          </w:rPr>
          <w:t>главой IV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требований.</w:t>
      </w:r>
    </w:p>
    <w:p w14:paraId="22A30201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Определение показателя, указанного в </w:t>
      </w:r>
      <w:hyperlink w:anchor="P67" w:tooltip="#P67" w:history="1">
        <w:r>
          <w:rPr>
            <w:rFonts w:ascii="Times New Roman" w:hAnsi="Times New Roman" w:cs="Times New Roman"/>
            <w:sz w:val="28"/>
            <w:szCs w:val="28"/>
          </w:rPr>
          <w:t>подпункте «в»  пункта 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требований, должно осуществляться в соответствии с </w:t>
      </w:r>
      <w:hyperlink w:anchor="P131" w:tooltip="#P131" w:history="1">
        <w:r>
          <w:rPr>
            <w:rFonts w:ascii="Times New Roman" w:hAnsi="Times New Roman" w:cs="Times New Roman"/>
            <w:sz w:val="28"/>
            <w:szCs w:val="28"/>
          </w:rPr>
          <w:t>главой V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требований.</w:t>
      </w:r>
    </w:p>
    <w:p w14:paraId="6290AE5D" w14:textId="77777777" w:rsidR="0000289F" w:rsidRDefault="0000289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7E02FE" w14:textId="77777777" w:rsidR="0000289F" w:rsidRDefault="00243B8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9" w:name="P77"/>
      <w:bookmarkEnd w:id="9"/>
      <w:r>
        <w:rPr>
          <w:rFonts w:ascii="Times New Roman" w:hAnsi="Times New Roman" w:cs="Times New Roman"/>
          <w:sz w:val="28"/>
          <w:szCs w:val="28"/>
        </w:rPr>
        <w:t>III. Требования к прогнозированию потребления электрической</w:t>
      </w:r>
    </w:p>
    <w:p w14:paraId="7445C8F9" w14:textId="77777777" w:rsidR="0000289F" w:rsidRDefault="00243B8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энергии и мощности энергосистемы</w:t>
      </w:r>
    </w:p>
    <w:p w14:paraId="343BFE94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CA252FF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В качестве основы для определения годовых объемов потребления электрической энергии и максимального потребления мощности территориальной энергосистемы на календарный год должны использоваться показатели среднесрочного прогноза потребления электрической энергии (мощности) на соответствующий календарный год.</w:t>
      </w:r>
    </w:p>
    <w:p w14:paraId="7A56FBAA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13. При разработке прогноза потребления электрической энергии и максимумов потребления мощности территориальной энергосистемы на планируемый период субъектом оперативно-диспетчерского управления должно выполняться уточнение объемов потребления электрической энергии и максимумов потребления мощности территориальной энергосистемы, указанных в среднесрочном прогнозе потребления электрической энергии (мощности) на соответствующий календарный год, на основе:</w:t>
      </w:r>
    </w:p>
    <w:p w14:paraId="7601B2D9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фактически складывающейся динамики изменения потребления электрической энергии (мощности) потребителями территориальной энергосистемы в текущем году без учета изменений объемов потребления электрической энергии (мощности) энергосистемы, обусловленных отклонением средней за рассматриваемый период температуры наружного воздуха от климатической нормы (далее – влияние температурного фактора);</w:t>
      </w:r>
    </w:p>
    <w:p w14:paraId="3A37260B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имеющейся в распоряжении субъекта оперативно-диспетчерского управления информации о реализации планов по вводу в эксплуатацию новых объектов электроэнергетики и объектов потребителей электрической энергии, в отношении которых имеются утвержденные технические условия на технологическое присоединение к электрическим сетям;</w:t>
      </w:r>
    </w:p>
    <w:p w14:paraId="70BB4D88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имеющейся в распоряжении субъекта оперативно-диспетчерского управления информации об объемах потребления электрической энергии (мощности) на собственные, производственные и хозяйственные нужды вновь вводимых электростанций, систем накопления электрической энергии и подстанций;</w:t>
      </w:r>
    </w:p>
    <w:p w14:paraId="5C9A5CEE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предложений по формированию сводного прогнозного баланса, представленных субъекту оперативно-диспетчерского управления потребителями электрической энергии (мощности) в соответствии с </w:t>
      </w:r>
      <w:hyperlink r:id="rId17" w:tooltip="https://login.consultant.ru/link/?req=doc&amp;base=LAW&amp;n=353230&amp;dst=100011" w:history="1">
        <w:r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формирования сводного прогнозного баланса производства и поставок электрической энергии (мощности) в рамках Единой энергетической системы России по субъектам Российской Федерации, </w:t>
      </w:r>
      <w:r>
        <w:rPr>
          <w:rFonts w:ascii="Times New Roman" w:hAnsi="Times New Roman" w:cs="Times New Roman"/>
          <w:sz w:val="28"/>
          <w:szCs w:val="28"/>
        </w:rPr>
        <w:lastRenderedPageBreak/>
        <w:t>утвержденным приказом ФАС России от 10 сентября 2024 г. № 624/24</w:t>
      </w:r>
      <w:r>
        <w:rPr>
          <w:rStyle w:val="FootnoteReference"/>
          <w:rFonts w:ascii="Times New Roman" w:hAnsi="Times New Roman" w:cs="Times New Roman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 xml:space="preserve"> (далее – Порядок формирования сводного прогнозного баланса);</w:t>
      </w:r>
    </w:p>
    <w:p w14:paraId="28EC007C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информации, представленной субъекту оперативно-диспетчерского управления в соответствии с </w:t>
      </w:r>
      <w:hyperlink w:anchor="P140" w:tooltip="#P140" w:history="1">
        <w:r>
          <w:rPr>
            <w:rFonts w:ascii="Times New Roman" w:hAnsi="Times New Roman" w:cs="Times New Roman"/>
            <w:sz w:val="28"/>
            <w:szCs w:val="28"/>
          </w:rPr>
          <w:t>главой VI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требований.</w:t>
      </w:r>
    </w:p>
    <w:p w14:paraId="00DB6FB7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87"/>
      <w:bookmarkEnd w:id="10"/>
      <w:r>
        <w:rPr>
          <w:rFonts w:ascii="Times New Roman" w:hAnsi="Times New Roman" w:cs="Times New Roman"/>
          <w:sz w:val="28"/>
          <w:szCs w:val="28"/>
        </w:rPr>
        <w:t>14. Помесячная разбивка прогнозных годовых объемов потребления электрической энергии территориальных энергосистем должна осуществляться субъектом оперативно-диспетчерского управления на основе:</w:t>
      </w:r>
    </w:p>
    <w:p w14:paraId="7D596AB6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имеющихся в распоряжении субъекта оперативно-диспетчерского управления фактических данных за последние пять лет о доле потребления электрической энергии расчетного месяца в годовом объеме потребления электрической энергии, влияния дополнительного дня в феврале високосного года и количества выходных дней в расчетном месяце;</w:t>
      </w:r>
    </w:p>
    <w:p w14:paraId="6A5FC0E7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ожидаемых сроков реализации планов по вводу в эксплуатацию в периоде прогнозирования новых объектов электроэнергетики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энергопринимающих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устройств потребителей электрической энергии, в отношении которых имеются заключенные договоры об осуществлении технологического присоединения к электрическим сетям (в случае технологического присоединения к объектам единой национальной (общероссийской) электрической сети по индивидуальному проекту – соглашения о порядке взаимодействия заявителя и сетевой организации в целях выполнения мероприятий по технологическому присоединению по индивидуальному проекту).</w:t>
      </w:r>
    </w:p>
    <w:p w14:paraId="76783BCD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Прогнозные месячные максимумы потребления мощности территориальных энергосистем должны определяться на основе прогнозных объемов потребления электрической энергии, определенных в соответствии с </w:t>
      </w:r>
      <w:hyperlink w:anchor="P87" w:tooltip="#P87" w:history="1">
        <w:r>
          <w:rPr>
            <w:rFonts w:ascii="Times New Roman" w:hAnsi="Times New Roman" w:cs="Times New Roman"/>
            <w:sz w:val="28"/>
            <w:szCs w:val="28"/>
          </w:rPr>
          <w:t>пунктом 14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требований, усредненных за три предыдущих года данных о фактическом числе часов использования собственного максимума потребления мощности в соответствующем месяце и исходя из влияния дополнительного дня в феврале високосного года.</w:t>
      </w:r>
    </w:p>
    <w:p w14:paraId="7D9B1829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Прогнозное потребление электрической энергии (мощности) для температуры наиболее холодной пятидневки и экстремально высокой температуры наружного воздуха должно определяться исходя из влияния температурного фактора на потребление электрической энергии (мощности) энергосистемы.</w:t>
      </w:r>
    </w:p>
    <w:p w14:paraId="41FAE44A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Влияние температурного фактора на потребление электрической энергии (мощности) энергосистемы должно описываться коэффициентом влияния, который должен рассчитываться субъектом оперативно-диспетчерского управления в отношении территориальных энергосистем на основе фактических данных о потреблении электрической энергии и мощности и температуре наружного воздуха за предыдущий период, определяемый субъектом оперативно-диспетчерского управления исходя из фактического изменения структуры потребления электрической энергии (мощности), продолжительностью не менее одного года.</w:t>
      </w:r>
    </w:p>
    <w:p w14:paraId="5114CD6A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Прогнозное потребление электрической энергии (мощности) для атомных электростанций должно определяться по каждому энергоблоку помесячно исходя из сроков и продолжительности ремонтов в соответствии с утвержденным субъектом оперативно-диспетчерского управления сводным годовым (месячным) графиком ремонтов, а также имеющихся у субъекта оперативно-диспетчерского управления данных о фактических объемах потребления электрической энергии (мощности) атомных электростанций за предыдущие периоды с аналогичными условиями работы энергоблоков. </w:t>
      </w:r>
    </w:p>
    <w:p w14:paraId="26192FE1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энергоблокам атомных электростанций, по которым данные о фактических объемах потребления электрической энергии (мощности) отсутствуют (в том числе по строящимся энергоблокам), прогнозное потребление электрической энергии (мощности) должно определяться исходя из проектных данных и сроков, продолжительности ремонтов в соответствии с утвержденным субъектом оперативно-диспетчерского управления сводным годовым (месячным) графиком ремонтов.</w:t>
      </w:r>
    </w:p>
    <w:p w14:paraId="2F4E9272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Прогноз потребления электрической энергии ОЭС и ЕЭС России должен определяться путем суммирования прогнозных объемов потребления электрической энергии соответствующих территориальных энергосистем.</w:t>
      </w:r>
    </w:p>
    <w:p w14:paraId="7454F2BB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Прогноз максимального потребления мощности ОЭС и ЕЭС России должен определяться исходя из эффекта совмещения максимумов потребления мощности территориальных энергосистем в максимуме потребления мощности ОЭС (ЕЭС России), рассчитываемого субъектом оперативно-диспетчерского управления на основе фактических данных о максимальном потреблении мощности соответствующих энергосистем за предыдущие пять лет.</w:t>
      </w:r>
    </w:p>
    <w:p w14:paraId="79F0EF89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B22417F" w14:textId="77777777" w:rsidR="0000289F" w:rsidRDefault="00243B8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1" w:name="P97"/>
      <w:bookmarkEnd w:id="11"/>
      <w:r>
        <w:rPr>
          <w:rFonts w:ascii="Times New Roman" w:hAnsi="Times New Roman" w:cs="Times New Roman"/>
          <w:sz w:val="28"/>
          <w:szCs w:val="28"/>
        </w:rPr>
        <w:t>IV. Требования к прогнозированию показателей баланса</w:t>
      </w:r>
    </w:p>
    <w:p w14:paraId="5C37802C" w14:textId="77777777" w:rsidR="0000289F" w:rsidRDefault="00243B8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мощности энергосистемы и объемов производства электрической</w:t>
      </w:r>
    </w:p>
    <w:p w14:paraId="583D0C6C" w14:textId="77777777" w:rsidR="0000289F" w:rsidRDefault="00243B8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энергии энергосистемы</w:t>
      </w:r>
    </w:p>
    <w:p w14:paraId="39126F6A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34909BB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Установленная мощность энергосистемы в прогнозном балансе мощности энергосистемы должна определяться как сумма установленных генерирующих мощностей электростанций и установленных мощностей систем накопления электрической энергии в составе энергосистемы.</w:t>
      </w:r>
    </w:p>
    <w:p w14:paraId="740704B3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формировании указанного показателя должны использоваться:</w:t>
      </w:r>
    </w:p>
    <w:p w14:paraId="4C4C48F4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прогноз изменения установленной генерирующей мощности электростанций в связи с вводом в работу, реконструкцией и модернизацией генерирующего оборудования на основании имеющейся у субъекта оперативно-диспетчерского управления информации о вводе в эксплуатацию новой электростанции (генерирующего оборудования), увеличении установленной генерирующей мощности существующей электростанции, в отношении которых имеются заключенные договоры об осуществлении технологического присоединения к электрическим сетям (в случае технологического присоединения к объектам единой национальной (общероссийской) электрической сети по индивидуальному проекту – соглашения о порядке взаимодействия заявителя и сетевой организации в целях выполнения мероприятий по технологическому присоединению по индивидуальному проекту);</w:t>
      </w:r>
    </w:p>
    <w:p w14:paraId="25979148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прогноз изменения установленной генерирующей мощности объектов по производству электрической энергии в связи с выводом генерирующего оборудования из эксплуатации на основании решений о согласовании вывода объектов диспетчеризации из эксплуатации, принятых уполномоченным органом в порядке, установленном </w:t>
      </w:r>
      <w:hyperlink r:id="rId18" w:tooltip="https://login.consultant.ru/link/?req=doc&amp;base=LAW&amp;n=306350&amp;dst=16" w:history="1">
        <w:r>
          <w:rPr>
            <w:rFonts w:ascii="Times New Roman" w:hAnsi="Times New Roman" w:cs="Times New Roman"/>
            <w:sz w:val="28"/>
            <w:szCs w:val="28"/>
          </w:rPr>
          <w:t>Правилами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вывода в ремонт и из эксплуатации, исходя из реализации мероприятий, направленных на устранение последствий, послуживших основанием для принятия уполномоченным органом решения о приостановлении вывода оборудования (объекта) из эксплуатации;</w:t>
      </w:r>
    </w:p>
    <w:p w14:paraId="42AD4C6D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прогноз изменения установленной мощности систем накопления электрической энергии в связи с вводом в работу, реконструкцией и модернизацией систем накопления электрической энергии на основании имеющейся у субъекта оперативно-диспетчерского управления информации о вводе в эксплуатацию новой системы накопления электрической энергии, увеличении установленной мощности системы накопления электрической энергии, в отношении которой имеются технические условия для технологического присоединения к электрическим сетям, утвержденные в соответствии с </w:t>
      </w:r>
      <w:hyperlink r:id="rId19" w:tooltip="https://login.consultant.ru/link/?req=doc&amp;base=LAW&amp;n=508980&amp;dst=100776" w:history="1">
        <w:r>
          <w:rPr>
            <w:rFonts w:ascii="Times New Roman" w:hAnsi="Times New Roman" w:cs="Times New Roman"/>
            <w:sz w:val="28"/>
            <w:szCs w:val="28"/>
          </w:rPr>
          <w:t>Правилами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технологического присоединения к электрическим сетям, или строительство, реконструкция, модернизация которой осуществляются за рамками процедуры технологического присоединения к электрическим сетям;</w:t>
      </w:r>
    </w:p>
    <w:p w14:paraId="0D59C033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прогноз изменения установленной мощности систем накопления электрической энергии в связи с выводом систем накопления электрической энергии из эксплуатации на основании решений о согласовании вывода объектов диспетчеризации из эксплуатации, принятых уполномоченным органом в порядке, установленном </w:t>
      </w:r>
      <w:hyperlink r:id="rId20" w:tooltip="https://login.consultant.ru/link/?req=doc&amp;base=LAW&amp;n=306350&amp;dst=16" w:history="1">
        <w:r>
          <w:rPr>
            <w:rFonts w:ascii="Times New Roman" w:hAnsi="Times New Roman" w:cs="Times New Roman"/>
            <w:sz w:val="28"/>
            <w:szCs w:val="28"/>
          </w:rPr>
          <w:t>Правилами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вывода в ремонт и из эксплуатации, исходя из реализации мероприятий, направленных на устранение последствий, послуживших основанием для принятия уполномоченным органом решения о приостановлении вывода оборудования (объекта) из эксплуатации; </w:t>
      </w:r>
    </w:p>
    <w:p w14:paraId="472F2CC2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предложения субъектов электроэнергетики по формированию сводного прогнозного баланса, представленные субъекту оперативно-диспетчерского управления в соответствии с </w:t>
      </w:r>
      <w:hyperlink r:id="rId21" w:tooltip="https://login.consultant.ru/link/?req=doc&amp;base=LAW&amp;n=353230&amp;dst=100011" w:history="1">
        <w:r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формирования сводного прогнозного баланса;</w:t>
      </w:r>
    </w:p>
    <w:p w14:paraId="77D4EC35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информация, представленная субъекту оперативно-диспетчерского в соответствии с </w:t>
      </w:r>
      <w:hyperlink w:anchor="P140" w:tooltip="#P140" w:history="1">
        <w:r>
          <w:rPr>
            <w:rFonts w:ascii="Times New Roman" w:hAnsi="Times New Roman" w:cs="Times New Roman"/>
            <w:sz w:val="28"/>
            <w:szCs w:val="28"/>
          </w:rPr>
          <w:t>главой VI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Требований.</w:t>
      </w:r>
    </w:p>
    <w:p w14:paraId="3E76B660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Располагаемая мощность энергосистемы в прогнозном балансе мощности энергосистемы должна определяться как сумма располагаемых мощностей электростанций и располагаемых мощностей систем накопления электрической энергии в составе энергосистемы.</w:t>
      </w:r>
    </w:p>
    <w:p w14:paraId="6B3F43EF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Hlk227144173"/>
      <w:r>
        <w:rPr>
          <w:rFonts w:ascii="Times New Roman" w:hAnsi="Times New Roman" w:cs="Times New Roman"/>
          <w:sz w:val="28"/>
          <w:szCs w:val="28"/>
        </w:rPr>
        <w:t>При формировании указанного показателя должны использоваться:</w:t>
      </w:r>
    </w:p>
    <w:p w14:paraId="751E1777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фактическая располагаемая мощность тепловых и атомных электростанций за предыдущие двенадцать месяцев до даты формирования прогнозного баланса мощности энергосистемы;</w:t>
      </w:r>
    </w:p>
    <w:p w14:paraId="1E7722F3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усредненное значение максимальных величин нагрузки гидроэлектростанций, зафиксированных в рабочие дни расчетного календарного месяца за три года, предшествующих году формирования прогнозного баланса мощности энергосистемы;</w:t>
      </w:r>
    </w:p>
    <w:p w14:paraId="5B847B59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располагаемая мощность систем накопления электрической энергии, определяемая в соответствии с пунктом 21 настоящих требований;</w:t>
      </w:r>
    </w:p>
    <w:p w14:paraId="047CF295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информация о дополнительном снижении располагаемой мощности генерирующего оборудования при экстремально высокой температуре наружного воздуха - при формировании прогнозного баланса мощности на ПЭВТ;</w:t>
      </w:r>
    </w:p>
    <w:p w14:paraId="4872EB29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предложения субъектов электроэнергетики по формированию сводного прогнозного баланса, представленные субъекту оперативно-диспетчерского управления в соответствии с </w:t>
      </w:r>
      <w:hyperlink r:id="rId22" w:tooltip="https://login.consultant.ru/link/?req=doc&amp;base=LAW&amp;n=353230&amp;dst=100011" w:history="1">
        <w:r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формирования сводного прогнозного баланса;</w:t>
      </w:r>
    </w:p>
    <w:p w14:paraId="7BB46419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информация, представленная субъекту оперативно-диспетчерского управления в соответствии с </w:t>
      </w:r>
      <w:hyperlink w:anchor="P140" w:tooltip="#P140" w:history="1">
        <w:r>
          <w:rPr>
            <w:rFonts w:ascii="Times New Roman" w:hAnsi="Times New Roman" w:cs="Times New Roman"/>
            <w:sz w:val="28"/>
            <w:szCs w:val="28"/>
          </w:rPr>
          <w:t>главой VI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требований.</w:t>
      </w:r>
    </w:p>
    <w:p w14:paraId="52711BFA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Располагаемая мощность системы накопления электрической энергии в прогнозном балансе мощности энергосистемы должна приниматься равной максимальной величине нагрузки системы накопления электрической энергии в режиме преобразования накопленной и сохраненной энергии в электрическую энергию, определенной на основе зафиксированных почасовых значений нагрузки такой системы за предыдущие двенадцать месяцев до даты формирования прогнозного баланса мощности энергосистемы, а при отсутствии у субъекта оперативно-диспетчерского управления указанных данных – приниматься равной величине установленной мощности системы накопления электрической энергии. </w:t>
      </w:r>
    </w:p>
    <w:p w14:paraId="584B1A43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формировании прогнозного баланса мощности энергосистемы на зимний период располагаемая мощность гидравлических электростанций на период с декабря по февраль должна определяться на основе фактических ограничений мощности, определяемых как максимальная величина ограничений установленной генерирующей мощности в соответствующем месяце в течение последних десяти лет.</w:t>
      </w:r>
    </w:p>
    <w:p w14:paraId="543B7160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Располагаемая мощность солнечных и ветровых электростанций в прогнозном балансе мощности энергосистемы должна приниматься равной нулю.</w:t>
      </w:r>
    </w:p>
    <w:p w14:paraId="07796571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bookmarkEnd w:id="12"/>
      <w:r>
        <w:rPr>
          <w:rFonts w:ascii="Times New Roman" w:hAnsi="Times New Roman" w:cs="Times New Roman"/>
          <w:sz w:val="28"/>
          <w:szCs w:val="28"/>
        </w:rPr>
        <w:t>. Рабочая мощность энергосистемы в прогнозном балансе мощности энергосистемы должна определяться как сумма рабочих мощностей электростанций и систем накопления электрической энергии в составе энергосистемы.</w:t>
      </w:r>
    </w:p>
    <w:p w14:paraId="5735534D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формировании указанного показателя должны использоваться:</w:t>
      </w:r>
    </w:p>
    <w:p w14:paraId="33C9941B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предложения для формирования сводного годового (месячного) графика ремонтов, направленные субъекту оперативно-диспетчерского управления собственниками и иными законными владельцами объектов по производству электрической энергии и систем накопления электрической энергии в соответствии с </w:t>
      </w:r>
      <w:hyperlink r:id="rId23" w:tooltip="https://login.consultant.ru/link/?req=doc&amp;base=LAW&amp;n=306350&amp;dst=16" w:history="1">
        <w:r>
          <w:rPr>
            <w:rFonts w:ascii="Times New Roman" w:hAnsi="Times New Roman" w:cs="Times New Roman"/>
            <w:sz w:val="28"/>
            <w:szCs w:val="28"/>
          </w:rPr>
          <w:t>Правилами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вывода в ремонт и из эксплуатации – в случае если на дату формирования прогнозного баланса мощности энергосистемы сводный годовой (месячный) график ремонтов еще не утвержден;</w:t>
      </w:r>
    </w:p>
    <w:p w14:paraId="57438F32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сводный годовой (месячный) график ремонтов, утвержденный субъектом оперативно-диспетчерского управления в соответствии с </w:t>
      </w:r>
      <w:hyperlink r:id="rId24" w:tooltip="https://login.consultant.ru/link/?req=doc&amp;base=LAW&amp;n=306350&amp;dst=16" w:history="1">
        <w:r>
          <w:rPr>
            <w:rFonts w:ascii="Times New Roman" w:hAnsi="Times New Roman" w:cs="Times New Roman"/>
            <w:sz w:val="28"/>
            <w:szCs w:val="28"/>
          </w:rPr>
          <w:t>Правилами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вывода в ремонт и из эксплуатации;</w:t>
      </w:r>
    </w:p>
    <w:p w14:paraId="55D964A1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предложения субъектов электроэнергетики по формированию сводного прогнозного баланса, представленные субъекту оперативно-диспетчерского управления в соответствии с </w:t>
      </w:r>
      <w:hyperlink r:id="rId25" w:tooltip="https://login.consultant.ru/link/?req=doc&amp;base=LAW&amp;n=353230&amp;dst=100011" w:history="1">
        <w:r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формирования сводного прогнозного баланса;</w:t>
      </w:r>
    </w:p>
    <w:p w14:paraId="0FF64ACF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информация о фактически выполняемых ремонтах энергетического оборудования, учтенная субъектом оперативно-диспетчерского управления при формировании сводного месячного графика ремонта в соответствии с абзацем третьим пункта 20 Правил вывода в ремонт и из эксплуатации;</w:t>
      </w:r>
    </w:p>
    <w:p w14:paraId="76A0A443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информация, представленная субъекту оперативно-диспетчерского управления в соответствии с </w:t>
      </w:r>
      <w:hyperlink w:anchor="P140" w:tooltip="#P140" w:history="1">
        <w:r>
          <w:rPr>
            <w:rFonts w:ascii="Times New Roman" w:hAnsi="Times New Roman" w:cs="Times New Roman"/>
            <w:sz w:val="28"/>
            <w:szCs w:val="28"/>
          </w:rPr>
          <w:t>главой VI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требований.</w:t>
      </w:r>
    </w:p>
    <w:p w14:paraId="0BCA9FF8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121"/>
      <w:bookmarkEnd w:id="13"/>
      <w:r>
        <w:rPr>
          <w:rFonts w:ascii="Times New Roman" w:hAnsi="Times New Roman" w:cs="Times New Roman"/>
          <w:sz w:val="28"/>
          <w:szCs w:val="28"/>
        </w:rPr>
        <w:t>23. При формировании величины рабочей мощности по объединенным энергосистемам и Единой энергетической системе России из суммарного значения рабочей мощности электростанций и систем накопления электрической энергии, рассчитанного по территориальным энергосистемам, входящим в состав объединенных энергосистем и Единой энергетической системы России, исключаются фактические объемы аварийных снижений мощности генерирующего оборудования, определяемые как величина с обеспеченностью 95 процентов из ряда зарегистрированных субъектом оперативно-диспетчерского управления значений аварийных снижений мощности генерирующего оборудования электростанций, входящих в состав  объединенных энергосистем и Единой энергетической системы России, в соответствующем периоде года (зимний, весенний, летний, осенний) за последние 3 календарных года, сниженные на величину располагаемой мощности оборудования, указанного в подпункте «г» пункта 22 настоящих требований.</w:t>
      </w:r>
    </w:p>
    <w:p w14:paraId="7767A9DC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 Объем производства электрической энергии в прогнозном балансе электрической энергии энергосистемы должен определяться в отношении:</w:t>
      </w:r>
    </w:p>
    <w:p w14:paraId="5EEC42AC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гидравлических электростанций – на основе прогнозной величины рабочей мощности и данных о среднемноголетней величине производства электрической энергии за период после завершения этапа наполнения водохранилища, ввода всех существующих гидроагрегатов и объектов схемы выдачи мощности электростанции, а в отсутствие указанных данных – по проектному среднемноголетнему объему производства электрической энергии; для строящихся гидроэлектростанций – в соответствии с проектными данными и исходя из планируемых сроков ввода в работу гидроагрегатов и диспетчерских графиков наполнения водохранилищ;</w:t>
      </w:r>
    </w:p>
    <w:p w14:paraId="28C6B41A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атомных электростанций – на основе прогнозной величины рабочей мощности и исходя из пропускной способности электрической сети, определяемой субъектом оперативно-диспетчерского управления;</w:t>
      </w:r>
    </w:p>
    <w:p w14:paraId="69F80755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ветровых и солнечных электростанций – на основе фактических помесячных данных о среднемноголетней величине производства электрической энергии данными электростанциями за три последних года, а при отсутствии указанных данных (в том числе для строящихся электростанций) – в соответствии с предложениями субъектов электроэнергетики по формированию сводного прогнозного баланса, представленными субъекту оперативно-диспетчерского управления в соответствии с </w:t>
      </w:r>
      <w:hyperlink r:id="rId26" w:tooltip="https://login.consultant.ru/link/?req=doc&amp;base=LAW&amp;n=353230&amp;dst=100011" w:history="1">
        <w:r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формирования сводного прогнозного баланса.</w:t>
      </w:r>
    </w:p>
    <w:p w14:paraId="6B3E496D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систем накопления электрической энергии – на основе фактических помесячных данных о средней за три последних года величине преобразования накопленной и сохраненной энергии в электрическую энергию системами накопления электрической энергии, а при отсутствии у субъекта оперативно-диспетчерского управления указанных данных (в том числе для строящихся систем накопления электрической энергии) – в соответствии с проектными данными и исходя из планируемых сроков ввода систем накопления электрической энергии в работу в составе энергосистемы.</w:t>
      </w:r>
    </w:p>
    <w:p w14:paraId="4F93DCF9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 При определении объема производства электрической энергии в прогнозном балансе электрической энергии энергосистемы должна использоваться информация, представленная субъекту оперативно-диспетчерского управления в соответствии с </w:t>
      </w:r>
      <w:hyperlink w:anchor="P140" w:tooltip="#P140" w:history="1">
        <w:r>
          <w:rPr>
            <w:rFonts w:ascii="Times New Roman" w:hAnsi="Times New Roman" w:cs="Times New Roman"/>
            <w:sz w:val="28"/>
            <w:szCs w:val="28"/>
          </w:rPr>
          <w:t>главой VI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требований.</w:t>
      </w:r>
    </w:p>
    <w:p w14:paraId="76911864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26. Производство электрической энергии тепловых электростанций должно определяться исходя из обеспечения покрытия прогнозного объема потребления электрической энергии и прогнозируемых межгосударственных перетоков электрической энергии на основе объемов производства электрической энергии, определенных в соответствии с </w:t>
      </w:r>
      <w:hyperlink w:anchor="P121" w:tooltip="#P121" w:history="1">
        <w:r>
          <w:rPr>
            <w:rFonts w:ascii="Times New Roman" w:hAnsi="Times New Roman" w:cs="Times New Roman"/>
            <w:sz w:val="28"/>
            <w:szCs w:val="28"/>
          </w:rPr>
          <w:t>пунктами 24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25 настоящих требований, пропускной способности электрической сети, определяемой субъектом оперативно-диспетчерского управления, и диапазона возможного производства электрической энергии тепловыми электростанциями, ограниченного:</w:t>
      </w:r>
    </w:p>
    <w:p w14:paraId="3761AFA9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максимальным объемом производства электрической энергии, определенным в соответствии с рабочей мощностью электростанции;</w:t>
      </w:r>
    </w:p>
    <w:p w14:paraId="399CBFA3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минимальным объемом производства электрической энергии, рассчитанным субъектом оперативно-диспетчерского управления исходя из обеспечения технологического минимума нагрузки электростанций, функционирующих в режиме комбинированной выработки электрической и тепловой энергии, в том числе нагрузки, определенной теплофикационным режимом, недопущения токовой перегрузки элементов электрической сети, поддержания нормальных уровней напряжения, обеспечения надежного функционирования релейной защиты и автоматики.</w:t>
      </w:r>
    </w:p>
    <w:p w14:paraId="4D709081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определении указанного показателя должна учитываться информация, представленная субъекту оперативно-диспетчерского управления в соответствии с </w:t>
      </w:r>
      <w:hyperlink w:anchor="P140" w:tooltip="#P140" w:history="1">
        <w:r>
          <w:rPr>
            <w:rFonts w:ascii="Times New Roman" w:hAnsi="Times New Roman" w:cs="Times New Roman"/>
            <w:sz w:val="28"/>
            <w:szCs w:val="28"/>
          </w:rPr>
          <w:t>главой VI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требований.</w:t>
      </w:r>
    </w:p>
    <w:p w14:paraId="726478DB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37D5B27" w14:textId="77777777" w:rsidR="0000289F" w:rsidRDefault="00243B8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4" w:name="P131"/>
      <w:bookmarkEnd w:id="14"/>
      <w:r>
        <w:rPr>
          <w:rFonts w:ascii="Times New Roman" w:hAnsi="Times New Roman" w:cs="Times New Roman"/>
          <w:sz w:val="28"/>
          <w:szCs w:val="28"/>
        </w:rPr>
        <w:t>V. Требования к прогнозированию внешних перетоков</w:t>
      </w:r>
    </w:p>
    <w:p w14:paraId="4B1EA8BB" w14:textId="77777777" w:rsidR="0000289F" w:rsidRDefault="00243B8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электрической энергии энергосистемы</w:t>
      </w:r>
    </w:p>
    <w:p w14:paraId="723BE54C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ED88CDE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 При формировании прогнозного баланса электрической энергии энергосистемы показатель сальдо внешних перетоков электрической энергии в отношении ЕЭС России должен определяться как алгебраическая сумма межгосударственных перетоков электрической энергии с детализацией по направлениям.</w:t>
      </w:r>
    </w:p>
    <w:p w14:paraId="54A10F04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 Определение объемов межгосударственных перетоков электрической энергии должно осуществляться на основе:</w:t>
      </w:r>
    </w:p>
    <w:p w14:paraId="41C9FBB9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предложений организаций, осуществляющих экспортно-импортные операции по купле-продаже электрической энергии (мощности), по формированию сводного прогнозного баланса, представленных субъекту оперативно-диспетчерского управления в соответствии с </w:t>
      </w:r>
      <w:hyperlink r:id="rId27" w:tooltip="https://login.consultant.ru/link/?req=doc&amp;base=LAW&amp;n=353230&amp;dst=100011" w:history="1">
        <w:r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формирования сводного прогнозного баланса;</w:t>
      </w:r>
    </w:p>
    <w:p w14:paraId="7CCAB7ED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имеющихся у субъекта оперативно-диспетчерского управления фактических данных о межгосударственных перетоках электрической энергии за последние три года.</w:t>
      </w:r>
    </w:p>
    <w:p w14:paraId="07FF097E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 Величина сальдо перетоков электрической энергии территориальных энергосистем и ОЭС должна рассчитываться как разница между потреблением и производством электрической энергии соответствующей энергосистемы.</w:t>
      </w:r>
    </w:p>
    <w:p w14:paraId="5E1BED21" w14:textId="77777777" w:rsidR="0000289F" w:rsidRDefault="0000289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64FA54" w14:textId="77777777" w:rsidR="0000289F" w:rsidRDefault="00243B8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5" w:name="P140"/>
      <w:bookmarkEnd w:id="15"/>
      <w:r>
        <w:rPr>
          <w:rFonts w:ascii="Times New Roman" w:hAnsi="Times New Roman" w:cs="Times New Roman"/>
          <w:sz w:val="28"/>
          <w:szCs w:val="28"/>
        </w:rPr>
        <w:t>VI. Требования по представлению субъектами</w:t>
      </w:r>
    </w:p>
    <w:p w14:paraId="6CE46592" w14:textId="77777777" w:rsidR="0000289F" w:rsidRDefault="00243B8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электроэнергетики и потребителями электрической энергии</w:t>
      </w:r>
    </w:p>
    <w:p w14:paraId="11197207" w14:textId="77777777" w:rsidR="0000289F" w:rsidRDefault="00243B8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исходных данных для формирования прогнозных балансов</w:t>
      </w:r>
    </w:p>
    <w:p w14:paraId="18381DE2" w14:textId="77777777" w:rsidR="0000289F" w:rsidRDefault="00243B8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электрической энергии и мощности энергосистемы</w:t>
      </w:r>
    </w:p>
    <w:p w14:paraId="3BDF2871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B1F3982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 В целях формирования прогнозных балансов электрической энергии и мощности энергосистемы собственники и иные законные владельцы электростанций (генерирующего оборудования, систем накопления электрической энергии) должны представлять в диспетчерские центры субъекта оперативно-диспетчерского управления:</w:t>
      </w:r>
    </w:p>
    <w:p w14:paraId="77EE34D9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предложения о минимальных среднемесячных нагрузках тепловых электростанций на предстоящий год по форме, приведенной в </w:t>
      </w:r>
      <w:hyperlink w:anchor="P168" w:tooltip="#P168" w:history="1">
        <w:r>
          <w:rPr>
            <w:rFonts w:ascii="Times New Roman" w:hAnsi="Times New Roman" w:cs="Times New Roman"/>
            <w:sz w:val="28"/>
            <w:szCs w:val="28"/>
          </w:rPr>
          <w:t>таблице 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приложения № 1 к настоящим требованиям, а также о минимальном составе основного энергетического оборудования, соответствующем указанным нагрузкам электростанций, по форме, приведенной в </w:t>
      </w:r>
      <w:hyperlink w:anchor="P198" w:tooltip="#P198" w:history="1">
        <w:r>
          <w:rPr>
            <w:rFonts w:ascii="Times New Roman" w:hAnsi="Times New Roman" w:cs="Times New Roman"/>
            <w:sz w:val="28"/>
            <w:szCs w:val="28"/>
          </w:rPr>
          <w:t>таблице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приложения № 1 к настоящим требованиям, – ежегодно в срок до 1 августа;</w:t>
      </w:r>
    </w:p>
    <w:p w14:paraId="086E5628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информацию о планируемых сроках изменения установленной генерирующей мощности генерирующего оборудования, установленной мощности систем накопления электрической энергии в текущем и предстоящем календарном году по форме, приведенной в </w:t>
      </w:r>
      <w:hyperlink w:anchor="P267" w:tooltip="#P267" w:history="1">
        <w:r>
          <w:rPr>
            <w:rFonts w:ascii="Times New Roman" w:hAnsi="Times New Roman" w:cs="Times New Roman"/>
            <w:sz w:val="28"/>
            <w:szCs w:val="28"/>
          </w:rPr>
          <w:t>приложении №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настоящим требованиям, – ежегодно в срок до 1 августа.</w:t>
      </w:r>
    </w:p>
    <w:p w14:paraId="0BEBF09C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 При заполнении формы, приведенной в приложении № 2 к настоящим требованиям:</w:t>
      </w:r>
    </w:p>
    <w:p w14:paraId="757A4D5C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графе «Станционный номер» каждая единица генерирующего оборудования в составе одной электростанции указывается отдельной строкой;</w:t>
      </w:r>
    </w:p>
    <w:p w14:paraId="6FF6C791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графе «Причина изменения установленной мощности» указывается причина изменения установленной мощности электростанций (установленной мощности систем накопления электрической энергии), в том числе новый ввод, модернизация, перемаркировка по запасу мощности.</w:t>
      </w:r>
    </w:p>
    <w:p w14:paraId="6952FD56" w14:textId="77777777" w:rsidR="0000289F" w:rsidRDefault="00243B8C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32. Потребители электрической энергии, являющиеся участниками оптового рынка электрической энергии и мощности, должны ежегодно представлять в диспетчерские центры субъекта оперативно-диспетчерского управления информацию о фактических объемах потребления ими электрической энергии и мощности за предшествующий год и прогнозных объемах потребления электрической энергии и мощности в соответствии с </w:t>
      </w:r>
      <w:hyperlink r:id="rId28" w:tooltip="https://login.consultant.ru/link/?req=doc&amp;base=LAW&amp;n=353230&amp;dst=100011" w:history="1">
        <w:r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формирования сводного прогнозного баланса</w:t>
      </w:r>
      <w:r>
        <w:rPr>
          <w:rFonts w:ascii="Times New Roman" w:hAnsi="Times New Roman" w:cs="Times New Roman"/>
        </w:rPr>
        <w:t>.</w:t>
      </w:r>
    </w:p>
    <w:p w14:paraId="2FCDA93B" w14:textId="77777777" w:rsidR="0000289F" w:rsidRDefault="0000289F">
      <w:pPr>
        <w:pStyle w:val="ConsPlusNormal"/>
        <w:jc w:val="both"/>
        <w:rPr>
          <w:rFonts w:ascii="Times New Roman" w:hAnsi="Times New Roman" w:cs="Times New Roman"/>
        </w:rPr>
        <w:sectPr w:rsidR="0000289F">
          <w:headerReference w:type="default" r:id="rId29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7FE1FFDE" w14:textId="77777777" w:rsidR="0000289F" w:rsidRDefault="0000289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21D3C6" w14:textId="77777777" w:rsidR="0000289F" w:rsidRDefault="00243B8C">
      <w:pPr>
        <w:pStyle w:val="ConsPlusNormal"/>
        <w:ind w:left="77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1</w:t>
      </w:r>
    </w:p>
    <w:p w14:paraId="58C60A9A" w14:textId="77777777" w:rsidR="0000289F" w:rsidRDefault="00243B8C">
      <w:pPr>
        <w:pStyle w:val="ConsPlusNormal"/>
        <w:ind w:left="77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требованиям к прогнозированию</w:t>
      </w:r>
    </w:p>
    <w:p w14:paraId="40918E36" w14:textId="77777777" w:rsidR="0000289F" w:rsidRDefault="00243B8C">
      <w:pPr>
        <w:pStyle w:val="ConsPlusNormal"/>
        <w:ind w:left="77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потребления и формированию балансов</w:t>
      </w:r>
    </w:p>
    <w:p w14:paraId="2B098669" w14:textId="77777777" w:rsidR="0000289F" w:rsidRDefault="00243B8C">
      <w:pPr>
        <w:pStyle w:val="ConsPlusNormal"/>
        <w:ind w:left="77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электрической энергии и мощности</w:t>
      </w:r>
    </w:p>
    <w:p w14:paraId="277626FD" w14:textId="77777777" w:rsidR="0000289F" w:rsidRDefault="00243B8C">
      <w:pPr>
        <w:pStyle w:val="ConsPlusNormal"/>
        <w:ind w:left="77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энергосистемы на календарный год</w:t>
      </w:r>
    </w:p>
    <w:p w14:paraId="7AC27E44" w14:textId="77777777" w:rsidR="0000289F" w:rsidRDefault="00243B8C">
      <w:pPr>
        <w:pStyle w:val="ConsPlusNormal"/>
        <w:ind w:left="77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периоды в пределах года, утвержденным приказом Минэнерго России</w:t>
      </w:r>
    </w:p>
    <w:p w14:paraId="1272E60D" w14:textId="77777777" w:rsidR="0000289F" w:rsidRDefault="00243B8C">
      <w:pPr>
        <w:pStyle w:val="ConsPlusNormal"/>
        <w:ind w:left="77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__________ № _____________</w:t>
      </w:r>
    </w:p>
    <w:p w14:paraId="5CF03133" w14:textId="77777777" w:rsidR="0000289F" w:rsidRDefault="000028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59C5F60" w14:textId="77777777" w:rsidR="0000289F" w:rsidRDefault="00243B8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</w:t>
      </w:r>
    </w:p>
    <w:p w14:paraId="5B03A44A" w14:textId="77777777" w:rsidR="0000289F" w:rsidRDefault="0000289F">
      <w:pPr>
        <w:pStyle w:val="ConsPlusNormal"/>
        <w:jc w:val="both"/>
        <w:rPr>
          <w:rFonts w:ascii="Times New Roman" w:hAnsi="Times New Roman" w:cs="Times New Roman"/>
        </w:rPr>
      </w:pPr>
    </w:p>
    <w:p w14:paraId="35C2907D" w14:textId="77777777" w:rsidR="0000289F" w:rsidRDefault="0000289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6" w:name="P168"/>
      <w:bookmarkEnd w:id="16"/>
    </w:p>
    <w:p w14:paraId="042DCA94" w14:textId="77777777" w:rsidR="0000289F" w:rsidRDefault="00243B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 Минимальные среднемесячные нагрузки тепловых электростанций на предстоящий год</w:t>
      </w:r>
    </w:p>
    <w:p w14:paraId="6BC147F6" w14:textId="77777777" w:rsidR="0000289F" w:rsidRDefault="0000289F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38"/>
        <w:gridCol w:w="1110"/>
        <w:gridCol w:w="1110"/>
        <w:gridCol w:w="1111"/>
        <w:gridCol w:w="1110"/>
        <w:gridCol w:w="1111"/>
        <w:gridCol w:w="1110"/>
        <w:gridCol w:w="1110"/>
        <w:gridCol w:w="1111"/>
        <w:gridCol w:w="1110"/>
        <w:gridCol w:w="1111"/>
        <w:gridCol w:w="1110"/>
        <w:gridCol w:w="1111"/>
      </w:tblGrid>
      <w:tr w:rsidR="0000289F" w14:paraId="1AD4CD70" w14:textId="77777777">
        <w:tc>
          <w:tcPr>
            <w:tcW w:w="1838" w:type="dxa"/>
          </w:tcPr>
          <w:p w14:paraId="70F28B0C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1110" w:type="dxa"/>
          </w:tcPr>
          <w:p w14:paraId="23CD2DBE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110" w:type="dxa"/>
          </w:tcPr>
          <w:p w14:paraId="11609889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111" w:type="dxa"/>
          </w:tcPr>
          <w:p w14:paraId="41C87053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110" w:type="dxa"/>
          </w:tcPr>
          <w:p w14:paraId="4189EE9A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111" w:type="dxa"/>
          </w:tcPr>
          <w:p w14:paraId="63936A9A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110" w:type="dxa"/>
          </w:tcPr>
          <w:p w14:paraId="296D7BED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110" w:type="dxa"/>
          </w:tcPr>
          <w:p w14:paraId="6837EEBD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111" w:type="dxa"/>
          </w:tcPr>
          <w:p w14:paraId="44CEB8FA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110" w:type="dxa"/>
          </w:tcPr>
          <w:p w14:paraId="499B3360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111" w:type="dxa"/>
          </w:tcPr>
          <w:p w14:paraId="620EBA92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110" w:type="dxa"/>
          </w:tcPr>
          <w:p w14:paraId="6A1864EE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111" w:type="dxa"/>
          </w:tcPr>
          <w:p w14:paraId="44E4DBE6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00289F" w14:paraId="63B9FA01" w14:textId="77777777">
        <w:tc>
          <w:tcPr>
            <w:tcW w:w="1838" w:type="dxa"/>
          </w:tcPr>
          <w:p w14:paraId="70DA1514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Минимальная среднемесячная нагрузка электростанции, МВт</w:t>
            </w:r>
          </w:p>
        </w:tc>
        <w:tc>
          <w:tcPr>
            <w:tcW w:w="1110" w:type="dxa"/>
          </w:tcPr>
          <w:p w14:paraId="7967A6D5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14:paraId="18784247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14:paraId="58934BDF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14:paraId="25D29F0D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14:paraId="1C2C84ED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14:paraId="72F42B59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14:paraId="1C2FD877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14:paraId="72900CB1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14:paraId="1B43DCBC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14:paraId="1577EAA5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</w:tcPr>
          <w:p w14:paraId="34718752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dxa"/>
          </w:tcPr>
          <w:p w14:paraId="0261244B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0B8F15F" w14:textId="77777777" w:rsidR="0000289F" w:rsidRDefault="0000289F">
      <w:pPr>
        <w:pStyle w:val="ConsPlusNormal"/>
        <w:jc w:val="both"/>
        <w:rPr>
          <w:rFonts w:ascii="Times New Roman" w:hAnsi="Times New Roman" w:cs="Times New Roman"/>
        </w:rPr>
      </w:pPr>
    </w:p>
    <w:p w14:paraId="0210C7C5" w14:textId="77777777" w:rsidR="0000289F" w:rsidRDefault="0000289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7" w:name="P198"/>
      <w:bookmarkEnd w:id="17"/>
    </w:p>
    <w:p w14:paraId="58CC8697" w14:textId="77777777" w:rsidR="0000289F" w:rsidRDefault="0000289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9542746" w14:textId="77777777" w:rsidR="0000289F" w:rsidRDefault="0000289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6C737FCB" w14:textId="77777777" w:rsidR="0000289F" w:rsidRDefault="0000289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25FA8702" w14:textId="77777777" w:rsidR="0000289F" w:rsidRDefault="0000289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171A1FBC" w14:textId="77777777" w:rsidR="0000289F" w:rsidRDefault="0000289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60403820" w14:textId="77777777" w:rsidR="0000289F" w:rsidRDefault="0000289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1AB612BF" w14:textId="77777777" w:rsidR="0000289F" w:rsidRDefault="0000289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  <w:sectPr w:rsidR="0000289F">
          <w:pgSz w:w="16838" w:h="11905" w:orient="landscape"/>
          <w:pgMar w:top="1418" w:right="1134" w:bottom="850" w:left="1134" w:header="454" w:footer="0" w:gutter="0"/>
          <w:cols w:space="720"/>
          <w:titlePg/>
          <w:docGrid w:linePitch="360"/>
        </w:sectPr>
      </w:pPr>
    </w:p>
    <w:p w14:paraId="55F9EB2C" w14:textId="77777777" w:rsidR="0000289F" w:rsidRDefault="00243B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2. Минимальный состав основного энергетического оборудования электростанций, соответствующий минимальным  среднемесячным нагрузкам тепловых электростанций на предстоящий год</w:t>
      </w:r>
    </w:p>
    <w:p w14:paraId="6FBFE341" w14:textId="77777777" w:rsidR="0000289F" w:rsidRDefault="0000289F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1"/>
        <w:gridCol w:w="3539"/>
        <w:gridCol w:w="4253"/>
      </w:tblGrid>
      <w:tr w:rsidR="0000289F" w14:paraId="2A4C10A8" w14:textId="77777777">
        <w:tc>
          <w:tcPr>
            <w:tcW w:w="1701" w:type="dxa"/>
          </w:tcPr>
          <w:p w14:paraId="2F7E2083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3539" w:type="dxa"/>
          </w:tcPr>
          <w:p w14:paraId="14B20AA6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Минимальный состав котлоагрегатов</w:t>
            </w:r>
          </w:p>
          <w:p w14:paraId="0D4F399B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(для энергоблоков не заполняется)</w:t>
            </w:r>
          </w:p>
          <w:p w14:paraId="3361A4BC" w14:textId="77777777" w:rsidR="0000289F" w:rsidRDefault="000028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F98754" w14:textId="77777777" w:rsidR="0000289F" w:rsidRDefault="0000289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56C982D9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Минимальный состав </w:t>
            </w:r>
          </w:p>
          <w:p w14:paraId="0BAD96CD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турбоагрегатов, энергоблоков</w:t>
            </w:r>
          </w:p>
          <w:p w14:paraId="1D7EF364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(минимальный состав генерирующего оборудования должен соответствовать заявляемой минимальной среднемесячной нагрузке)</w:t>
            </w:r>
          </w:p>
        </w:tc>
      </w:tr>
      <w:tr w:rsidR="0000289F" w14:paraId="3827ED2F" w14:textId="77777777">
        <w:tc>
          <w:tcPr>
            <w:tcW w:w="1701" w:type="dxa"/>
          </w:tcPr>
          <w:p w14:paraId="4327C1E4" w14:textId="77777777" w:rsidR="0000289F" w:rsidRDefault="00243B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539" w:type="dxa"/>
          </w:tcPr>
          <w:p w14:paraId="67461EE5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081C1395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289F" w14:paraId="34E43BF9" w14:textId="77777777">
        <w:tc>
          <w:tcPr>
            <w:tcW w:w="1701" w:type="dxa"/>
          </w:tcPr>
          <w:p w14:paraId="6EC2E46F" w14:textId="77777777" w:rsidR="0000289F" w:rsidRDefault="00243B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539" w:type="dxa"/>
          </w:tcPr>
          <w:p w14:paraId="45C277A7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507508ED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289F" w14:paraId="6B4513A2" w14:textId="77777777">
        <w:tc>
          <w:tcPr>
            <w:tcW w:w="1701" w:type="dxa"/>
          </w:tcPr>
          <w:p w14:paraId="32DD8B10" w14:textId="77777777" w:rsidR="0000289F" w:rsidRDefault="00243B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539" w:type="dxa"/>
          </w:tcPr>
          <w:p w14:paraId="782CA2DA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63706E51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289F" w14:paraId="67F78866" w14:textId="77777777">
        <w:tc>
          <w:tcPr>
            <w:tcW w:w="1701" w:type="dxa"/>
          </w:tcPr>
          <w:p w14:paraId="540F1181" w14:textId="77777777" w:rsidR="0000289F" w:rsidRDefault="00243B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539" w:type="dxa"/>
          </w:tcPr>
          <w:p w14:paraId="611F722E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0E6C3345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289F" w14:paraId="733A6B4F" w14:textId="77777777">
        <w:tc>
          <w:tcPr>
            <w:tcW w:w="1701" w:type="dxa"/>
          </w:tcPr>
          <w:p w14:paraId="1E38A2F3" w14:textId="77777777" w:rsidR="0000289F" w:rsidRDefault="00243B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539" w:type="dxa"/>
          </w:tcPr>
          <w:p w14:paraId="7DCFFB59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2EEA7294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289F" w14:paraId="6F669406" w14:textId="77777777">
        <w:tc>
          <w:tcPr>
            <w:tcW w:w="1701" w:type="dxa"/>
          </w:tcPr>
          <w:p w14:paraId="2333A3D9" w14:textId="77777777" w:rsidR="0000289F" w:rsidRDefault="00243B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3539" w:type="dxa"/>
          </w:tcPr>
          <w:p w14:paraId="0F216FE9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10CEFA57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289F" w14:paraId="71381832" w14:textId="77777777">
        <w:tc>
          <w:tcPr>
            <w:tcW w:w="1701" w:type="dxa"/>
          </w:tcPr>
          <w:p w14:paraId="4D49A1C4" w14:textId="77777777" w:rsidR="0000289F" w:rsidRDefault="00243B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3539" w:type="dxa"/>
          </w:tcPr>
          <w:p w14:paraId="1CCFB226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66F21C64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289F" w14:paraId="1784B74A" w14:textId="77777777">
        <w:tc>
          <w:tcPr>
            <w:tcW w:w="1701" w:type="dxa"/>
          </w:tcPr>
          <w:p w14:paraId="10051746" w14:textId="77777777" w:rsidR="0000289F" w:rsidRDefault="00243B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3539" w:type="dxa"/>
          </w:tcPr>
          <w:p w14:paraId="2E5A9B7E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650BFA0D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289F" w14:paraId="54BB522E" w14:textId="77777777">
        <w:tc>
          <w:tcPr>
            <w:tcW w:w="1701" w:type="dxa"/>
          </w:tcPr>
          <w:p w14:paraId="5978614E" w14:textId="77777777" w:rsidR="0000289F" w:rsidRDefault="00243B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539" w:type="dxa"/>
          </w:tcPr>
          <w:p w14:paraId="7A39DBDA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18B43754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289F" w14:paraId="234DE503" w14:textId="77777777">
        <w:tc>
          <w:tcPr>
            <w:tcW w:w="1701" w:type="dxa"/>
          </w:tcPr>
          <w:p w14:paraId="314C7F2F" w14:textId="77777777" w:rsidR="0000289F" w:rsidRDefault="00243B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539" w:type="dxa"/>
          </w:tcPr>
          <w:p w14:paraId="5EB80B0F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558D283F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289F" w14:paraId="38365488" w14:textId="77777777">
        <w:tc>
          <w:tcPr>
            <w:tcW w:w="1701" w:type="dxa"/>
          </w:tcPr>
          <w:p w14:paraId="7E575BAF" w14:textId="77777777" w:rsidR="0000289F" w:rsidRDefault="00243B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539" w:type="dxa"/>
          </w:tcPr>
          <w:p w14:paraId="7865403B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5F5E1AC8" w14:textId="77777777" w:rsidR="0000289F" w:rsidRDefault="0000289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289F" w14:paraId="1C055C59" w14:textId="77777777">
        <w:tc>
          <w:tcPr>
            <w:tcW w:w="1701" w:type="dxa"/>
          </w:tcPr>
          <w:p w14:paraId="1755B223" w14:textId="77777777" w:rsidR="0000289F" w:rsidRDefault="00243B8C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539" w:type="dxa"/>
          </w:tcPr>
          <w:p w14:paraId="4D9F9C31" w14:textId="77777777" w:rsidR="0000289F" w:rsidRDefault="0000289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</w:tcPr>
          <w:p w14:paraId="7F37D578" w14:textId="77777777" w:rsidR="0000289F" w:rsidRDefault="0000289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14B490A3" w14:textId="77777777" w:rsidR="0000289F" w:rsidRDefault="0000289F">
      <w:pPr>
        <w:pStyle w:val="ConsPlusNormal"/>
        <w:jc w:val="both"/>
        <w:rPr>
          <w:rFonts w:ascii="Times New Roman" w:hAnsi="Times New Roman" w:cs="Times New Roman"/>
        </w:rPr>
      </w:pPr>
    </w:p>
    <w:p w14:paraId="6E1D6992" w14:textId="77777777" w:rsidR="0000289F" w:rsidRDefault="000028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967F441" w14:textId="77777777" w:rsidR="0000289F" w:rsidRDefault="00243B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 и отчество (при наличии),</w:t>
      </w:r>
    </w:p>
    <w:p w14:paraId="2412694F" w14:textId="77777777" w:rsidR="0000289F" w:rsidRDefault="00243B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должность уполномоченного представителя</w:t>
      </w:r>
    </w:p>
    <w:p w14:paraId="715ED3BD" w14:textId="77777777" w:rsidR="0000289F" w:rsidRDefault="00243B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собственника или иного законного</w:t>
      </w:r>
    </w:p>
    <w:p w14:paraId="5DEDE3E8" w14:textId="77777777" w:rsidR="0000289F" w:rsidRDefault="00243B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владельца электростанции   </w:t>
      </w:r>
      <w:r>
        <w:rPr>
          <w:rFonts w:ascii="Times New Roman" w:hAnsi="Times New Roman" w:cs="Times New Roman"/>
        </w:rPr>
        <w:t xml:space="preserve">                                       ________________________     </w:t>
      </w:r>
      <w:r>
        <w:rPr>
          <w:rFonts w:ascii="Times New Roman" w:hAnsi="Times New Roman" w:cs="Times New Roman"/>
          <w:sz w:val="24"/>
          <w:szCs w:val="24"/>
        </w:rPr>
        <w:t>Расшифровка подписи</w:t>
      </w:r>
    </w:p>
    <w:p w14:paraId="0A4D2B01" w14:textId="77777777" w:rsidR="0000289F" w:rsidRDefault="00243B8C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(подпись)</w:t>
      </w:r>
    </w:p>
    <w:p w14:paraId="4D77722B" w14:textId="77777777" w:rsidR="0000289F" w:rsidRDefault="0000289F">
      <w:pPr>
        <w:pStyle w:val="ConsPlusNormal"/>
        <w:jc w:val="both"/>
        <w:rPr>
          <w:rFonts w:ascii="Times New Roman" w:hAnsi="Times New Roman" w:cs="Times New Roman"/>
        </w:rPr>
      </w:pPr>
      <w:bookmarkStart w:id="18" w:name="P251"/>
      <w:bookmarkStart w:id="19" w:name="P252"/>
      <w:bookmarkEnd w:id="18"/>
      <w:bookmarkEnd w:id="19"/>
    </w:p>
    <w:p w14:paraId="7A63CD49" w14:textId="77777777" w:rsidR="0000289F" w:rsidRDefault="0000289F">
      <w:pPr>
        <w:pStyle w:val="ConsPlusNormal"/>
        <w:jc w:val="both"/>
        <w:rPr>
          <w:rFonts w:ascii="Times New Roman" w:hAnsi="Times New Roman" w:cs="Times New Roman"/>
        </w:rPr>
      </w:pPr>
    </w:p>
    <w:p w14:paraId="61C75869" w14:textId="77777777" w:rsidR="0000289F" w:rsidRDefault="00243B8C">
      <w:pPr>
        <w:rPr>
          <w:rFonts w:ascii="Times New Roman" w:hAnsi="Times New Roman" w:cs="Times New Roman"/>
          <w:sz w:val="28"/>
          <w:szCs w:val="28"/>
        </w:rPr>
        <w:sectPr w:rsidR="0000289F">
          <w:pgSz w:w="11905" w:h="16838"/>
          <w:pgMar w:top="1134" w:right="851" w:bottom="1134" w:left="1418" w:header="454" w:footer="0" w:gutter="0"/>
          <w:cols w:space="720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br w:type="page" w:clear="all"/>
      </w:r>
    </w:p>
    <w:p w14:paraId="3797ADC1" w14:textId="77777777" w:rsidR="0000289F" w:rsidRDefault="00243B8C">
      <w:pPr>
        <w:pStyle w:val="ConsPlusNormal"/>
        <w:ind w:left="77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</w:t>
      </w:r>
    </w:p>
    <w:p w14:paraId="50F19762" w14:textId="77777777" w:rsidR="0000289F" w:rsidRDefault="00243B8C">
      <w:pPr>
        <w:pStyle w:val="ConsPlusNormal"/>
        <w:ind w:left="77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требованиям к прогнозированию</w:t>
      </w:r>
    </w:p>
    <w:p w14:paraId="5F49755F" w14:textId="77777777" w:rsidR="0000289F" w:rsidRDefault="00243B8C">
      <w:pPr>
        <w:pStyle w:val="ConsPlusNormal"/>
        <w:ind w:left="77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потребления и формированию балансов</w:t>
      </w:r>
    </w:p>
    <w:p w14:paraId="2028B77F" w14:textId="77777777" w:rsidR="0000289F" w:rsidRDefault="00243B8C">
      <w:pPr>
        <w:pStyle w:val="ConsPlusNormal"/>
        <w:ind w:left="77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электрической энергии и мощности</w:t>
      </w:r>
    </w:p>
    <w:p w14:paraId="551451E3" w14:textId="77777777" w:rsidR="0000289F" w:rsidRDefault="00243B8C">
      <w:pPr>
        <w:pStyle w:val="ConsPlusNormal"/>
        <w:ind w:left="77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энергосистемы на календарный год</w:t>
      </w:r>
    </w:p>
    <w:p w14:paraId="079647A3" w14:textId="77777777" w:rsidR="0000289F" w:rsidRDefault="00243B8C">
      <w:pPr>
        <w:pStyle w:val="ConsPlusNormal"/>
        <w:ind w:left="77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периоды в пределах года, утвержденным приказом Минэнерго России  от __________ № _____________</w:t>
      </w:r>
    </w:p>
    <w:p w14:paraId="2B46E759" w14:textId="77777777" w:rsidR="0000289F" w:rsidRDefault="0000289F">
      <w:pPr>
        <w:pStyle w:val="ConsPlusNormal"/>
        <w:ind w:left="4253"/>
        <w:jc w:val="center"/>
        <w:rPr>
          <w:rFonts w:ascii="Times New Roman" w:hAnsi="Times New Roman" w:cs="Times New Roman"/>
          <w:sz w:val="28"/>
          <w:szCs w:val="28"/>
        </w:rPr>
      </w:pPr>
    </w:p>
    <w:p w14:paraId="5A25FE79" w14:textId="77777777" w:rsidR="0000289F" w:rsidRDefault="00243B8C">
      <w:pPr>
        <w:pStyle w:val="ConsPlusNormal"/>
        <w:ind w:left="425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</w:t>
      </w:r>
    </w:p>
    <w:p w14:paraId="7EA04A2F" w14:textId="77777777" w:rsidR="0000289F" w:rsidRDefault="0000289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664AF24B" w14:textId="77777777" w:rsidR="0000289F" w:rsidRDefault="00243B8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сроки изменения установленной генерирующей мощности генерирующего оборудования (установленной (номинальной) мощности систем накопления электрической энергии в режиме преобразования накопленной и сохраненной энергии в электрическую энергию) в текущем и предстоящем календарном году</w:t>
      </w:r>
    </w:p>
    <w:p w14:paraId="643E25F3" w14:textId="77777777" w:rsidR="0000289F" w:rsidRDefault="0000289F">
      <w:pPr>
        <w:pStyle w:val="ConsPlusNormal"/>
        <w:rPr>
          <w:rFonts w:ascii="Times New Roman" w:hAnsi="Times New Roman" w:cs="Times New Roman"/>
        </w:rPr>
      </w:pPr>
      <w:bookmarkStart w:id="20" w:name="P267"/>
      <w:bookmarkEnd w:id="20"/>
    </w:p>
    <w:tbl>
      <w:tblPr>
        <w:tblW w:w="15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05"/>
        <w:gridCol w:w="1832"/>
        <w:gridCol w:w="1712"/>
        <w:gridCol w:w="1797"/>
        <w:gridCol w:w="1688"/>
        <w:gridCol w:w="1773"/>
        <w:gridCol w:w="1858"/>
        <w:gridCol w:w="2102"/>
      </w:tblGrid>
      <w:tr w:rsidR="0000289F" w14:paraId="762FAAF6" w14:textId="77777777">
        <w:tc>
          <w:tcPr>
            <w:tcW w:w="2405" w:type="dxa"/>
            <w:tcBorders>
              <w:top w:val="single" w:sz="4" w:space="0" w:color="auto"/>
            </w:tcBorders>
          </w:tcPr>
          <w:p w14:paraId="3F42BB09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Полное или сокращенное (при наличии) наименование организации - собственника или иного законного владельца электростанции (генерирующего оборудования) или системы накопления электрической энергии</w:t>
            </w:r>
          </w:p>
        </w:tc>
        <w:tc>
          <w:tcPr>
            <w:tcW w:w="1832" w:type="dxa"/>
            <w:tcBorders>
              <w:top w:val="single" w:sz="4" w:space="0" w:color="auto"/>
            </w:tcBorders>
          </w:tcPr>
          <w:p w14:paraId="7E0E275A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Диспетчерское наименование электростанции, системы накопления электрической энергии</w:t>
            </w:r>
          </w:p>
        </w:tc>
        <w:tc>
          <w:tcPr>
            <w:tcW w:w="1712" w:type="dxa"/>
            <w:tcBorders>
              <w:top w:val="single" w:sz="4" w:space="0" w:color="auto"/>
            </w:tcBorders>
          </w:tcPr>
          <w:p w14:paraId="000894CC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Станционный номер </w:t>
            </w:r>
          </w:p>
        </w:tc>
        <w:tc>
          <w:tcPr>
            <w:tcW w:w="1797" w:type="dxa"/>
            <w:tcBorders>
              <w:top w:val="single" w:sz="4" w:space="0" w:color="auto"/>
            </w:tcBorders>
          </w:tcPr>
          <w:p w14:paraId="6440F534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Величина установленной мощности до изменения</w:t>
            </w:r>
          </w:p>
        </w:tc>
        <w:tc>
          <w:tcPr>
            <w:tcW w:w="1688" w:type="dxa"/>
            <w:tcBorders>
              <w:top w:val="single" w:sz="4" w:space="0" w:color="auto"/>
            </w:tcBorders>
          </w:tcPr>
          <w:p w14:paraId="2B0BB458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Планируемая величина изменения установленной мощности</w:t>
            </w:r>
          </w:p>
        </w:tc>
        <w:tc>
          <w:tcPr>
            <w:tcW w:w="1773" w:type="dxa"/>
            <w:tcBorders>
              <w:top w:val="single" w:sz="4" w:space="0" w:color="auto"/>
            </w:tcBorders>
          </w:tcPr>
          <w:p w14:paraId="7B125D05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Планируемая величина установленной мощности после изменения</w:t>
            </w:r>
          </w:p>
        </w:tc>
        <w:tc>
          <w:tcPr>
            <w:tcW w:w="1858" w:type="dxa"/>
            <w:tcBorders>
              <w:top w:val="single" w:sz="4" w:space="0" w:color="auto"/>
            </w:tcBorders>
          </w:tcPr>
          <w:p w14:paraId="0A878CD8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Планируемая дата изменения установленной мощности</w:t>
            </w:r>
          </w:p>
        </w:tc>
        <w:tc>
          <w:tcPr>
            <w:tcW w:w="2102" w:type="dxa"/>
            <w:tcBorders>
              <w:top w:val="single" w:sz="4" w:space="0" w:color="auto"/>
            </w:tcBorders>
          </w:tcPr>
          <w:p w14:paraId="0D32F00C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Причина изменения установленной мощности </w:t>
            </w:r>
          </w:p>
        </w:tc>
      </w:tr>
      <w:tr w:rsidR="0000289F" w14:paraId="3731FEA0" w14:textId="77777777">
        <w:trPr>
          <w:trHeight w:val="17"/>
        </w:trPr>
        <w:tc>
          <w:tcPr>
            <w:tcW w:w="2405" w:type="dxa"/>
            <w:tcBorders>
              <w:top w:val="single" w:sz="4" w:space="0" w:color="auto"/>
            </w:tcBorders>
          </w:tcPr>
          <w:p w14:paraId="1DBE9ED3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32" w:type="dxa"/>
            <w:tcBorders>
              <w:top w:val="single" w:sz="4" w:space="0" w:color="auto"/>
            </w:tcBorders>
          </w:tcPr>
          <w:p w14:paraId="34DFB715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712" w:type="dxa"/>
            <w:tcBorders>
              <w:top w:val="single" w:sz="4" w:space="0" w:color="auto"/>
            </w:tcBorders>
          </w:tcPr>
          <w:p w14:paraId="057F5D79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797" w:type="dxa"/>
            <w:tcBorders>
              <w:top w:val="single" w:sz="4" w:space="0" w:color="auto"/>
            </w:tcBorders>
          </w:tcPr>
          <w:p w14:paraId="0231B152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688" w:type="dxa"/>
            <w:tcBorders>
              <w:top w:val="single" w:sz="4" w:space="0" w:color="auto"/>
            </w:tcBorders>
          </w:tcPr>
          <w:p w14:paraId="476C3968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773" w:type="dxa"/>
            <w:tcBorders>
              <w:top w:val="single" w:sz="4" w:space="0" w:color="auto"/>
            </w:tcBorders>
          </w:tcPr>
          <w:p w14:paraId="1DE3217A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858" w:type="dxa"/>
            <w:tcBorders>
              <w:top w:val="single" w:sz="4" w:space="0" w:color="auto"/>
            </w:tcBorders>
          </w:tcPr>
          <w:p w14:paraId="2D8815DF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2102" w:type="dxa"/>
            <w:tcBorders>
              <w:top w:val="single" w:sz="4" w:space="0" w:color="auto"/>
            </w:tcBorders>
          </w:tcPr>
          <w:p w14:paraId="58BBC99A" w14:textId="77777777" w:rsidR="0000289F" w:rsidRDefault="00243B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</w:tr>
      <w:tr w:rsidR="0000289F" w14:paraId="2D9CAB2A" w14:textId="77777777">
        <w:tc>
          <w:tcPr>
            <w:tcW w:w="2405" w:type="dxa"/>
          </w:tcPr>
          <w:p w14:paraId="14020643" w14:textId="77777777" w:rsidR="0000289F" w:rsidRDefault="0000289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14:paraId="2CB6EC6B" w14:textId="77777777" w:rsidR="0000289F" w:rsidRDefault="0000289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2" w:type="dxa"/>
          </w:tcPr>
          <w:p w14:paraId="00988191" w14:textId="77777777" w:rsidR="0000289F" w:rsidRDefault="0000289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14:paraId="75AF5018" w14:textId="77777777" w:rsidR="0000289F" w:rsidRDefault="0000289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14:paraId="61A0A04E" w14:textId="77777777" w:rsidR="0000289F" w:rsidRDefault="0000289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3" w:type="dxa"/>
          </w:tcPr>
          <w:p w14:paraId="6A32B1D1" w14:textId="77777777" w:rsidR="0000289F" w:rsidRDefault="0000289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14:paraId="35DC84D4" w14:textId="77777777" w:rsidR="0000289F" w:rsidRDefault="0000289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02" w:type="dxa"/>
          </w:tcPr>
          <w:p w14:paraId="67E0940D" w14:textId="77777777" w:rsidR="0000289F" w:rsidRDefault="0000289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0289F" w14:paraId="5562F7C2" w14:textId="77777777">
        <w:tc>
          <w:tcPr>
            <w:tcW w:w="2405" w:type="dxa"/>
          </w:tcPr>
          <w:p w14:paraId="6E5F2812" w14:textId="77777777" w:rsidR="0000289F" w:rsidRDefault="0000289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14:paraId="5391351F" w14:textId="77777777" w:rsidR="0000289F" w:rsidRDefault="0000289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2" w:type="dxa"/>
          </w:tcPr>
          <w:p w14:paraId="04AFC666" w14:textId="77777777" w:rsidR="0000289F" w:rsidRDefault="0000289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14:paraId="665AEC40" w14:textId="77777777" w:rsidR="0000289F" w:rsidRDefault="0000289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14:paraId="4926521A" w14:textId="77777777" w:rsidR="0000289F" w:rsidRDefault="0000289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73" w:type="dxa"/>
          </w:tcPr>
          <w:p w14:paraId="5E289D24" w14:textId="77777777" w:rsidR="0000289F" w:rsidRDefault="0000289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858" w:type="dxa"/>
          </w:tcPr>
          <w:p w14:paraId="572144EB" w14:textId="77777777" w:rsidR="0000289F" w:rsidRDefault="0000289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02" w:type="dxa"/>
          </w:tcPr>
          <w:p w14:paraId="325DD938" w14:textId="77777777" w:rsidR="0000289F" w:rsidRDefault="0000289F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50C7B314" w14:textId="77777777" w:rsidR="0000289F" w:rsidRDefault="0000289F">
      <w:pPr>
        <w:pStyle w:val="ConsPlusNormal"/>
        <w:rPr>
          <w:rFonts w:ascii="Times New Roman" w:hAnsi="Times New Roman" w:cs="Times New Roman"/>
        </w:rPr>
      </w:pPr>
    </w:p>
    <w:p w14:paraId="182DEBCC" w14:textId="77777777" w:rsidR="0000289F" w:rsidRDefault="0000289F">
      <w:pPr>
        <w:pStyle w:val="ConsPlusNormal"/>
        <w:rPr>
          <w:rFonts w:ascii="Times New Roman" w:hAnsi="Times New Roman" w:cs="Times New Roman"/>
        </w:rPr>
      </w:pPr>
    </w:p>
    <w:p w14:paraId="34BBA94E" w14:textId="77777777" w:rsidR="0000289F" w:rsidRDefault="00243B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 и отчество (при наличии),</w:t>
      </w:r>
    </w:p>
    <w:p w14:paraId="1E5AF805" w14:textId="77777777" w:rsidR="0000289F" w:rsidRDefault="00243B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должность уполномоченного представителя</w:t>
      </w:r>
    </w:p>
    <w:p w14:paraId="22E993C3" w14:textId="77777777" w:rsidR="0000289F" w:rsidRDefault="00243B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собственника или иного законного владельца</w:t>
      </w:r>
    </w:p>
    <w:p w14:paraId="75D65F4D" w14:textId="77777777" w:rsidR="0000289F" w:rsidRDefault="00243B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электростанции (генерирующего оборудования) </w:t>
      </w:r>
    </w:p>
    <w:p w14:paraId="3C130768" w14:textId="77777777" w:rsidR="0000289F" w:rsidRDefault="00243B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или системы накопления электрической энергии                   ___________________    Расшифровка подписи</w:t>
      </w:r>
    </w:p>
    <w:p w14:paraId="410FF321" w14:textId="77777777" w:rsidR="0000289F" w:rsidRDefault="00243B8C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(подпись)</w:t>
      </w:r>
    </w:p>
    <w:p w14:paraId="1BEF045E" w14:textId="77777777" w:rsidR="0000289F" w:rsidRDefault="0000289F">
      <w:pPr>
        <w:widowControl w:val="0"/>
        <w:spacing w:after="0" w:line="240" w:lineRule="auto"/>
        <w:rPr>
          <w:rFonts w:ascii="Times New Roman" w:hAnsi="Times New Roman" w:cs="Times New Roman"/>
        </w:rPr>
      </w:pPr>
      <w:bookmarkStart w:id="21" w:name="P304"/>
      <w:bookmarkStart w:id="22" w:name="P305"/>
      <w:bookmarkStart w:id="23" w:name="P320"/>
      <w:bookmarkStart w:id="24" w:name="P399"/>
      <w:bookmarkEnd w:id="21"/>
      <w:bookmarkEnd w:id="22"/>
      <w:bookmarkEnd w:id="23"/>
      <w:bookmarkEnd w:id="24"/>
    </w:p>
    <w:sectPr w:rsidR="0000289F">
      <w:pgSz w:w="16838" w:h="11905" w:orient="landscape"/>
      <w:pgMar w:top="1418" w:right="1134" w:bottom="850" w:left="1134" w:header="454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83A253" w14:textId="77777777" w:rsidR="0000289F" w:rsidRDefault="00243B8C">
      <w:pPr>
        <w:spacing w:after="0" w:line="240" w:lineRule="auto"/>
      </w:pPr>
      <w:r>
        <w:separator/>
      </w:r>
    </w:p>
  </w:endnote>
  <w:endnote w:type="continuationSeparator" w:id="0">
    <w:p w14:paraId="328AC6A3" w14:textId="77777777" w:rsidR="0000289F" w:rsidRDefault="00243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altName w:val="Tahoma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8759A6" w14:textId="77777777" w:rsidR="0000289F" w:rsidRDefault="00243B8C">
      <w:pPr>
        <w:spacing w:after="0" w:line="240" w:lineRule="auto"/>
      </w:pPr>
      <w:r>
        <w:separator/>
      </w:r>
    </w:p>
  </w:footnote>
  <w:footnote w:type="continuationSeparator" w:id="0">
    <w:p w14:paraId="20C1C29C" w14:textId="77777777" w:rsidR="0000289F" w:rsidRDefault="00243B8C">
      <w:pPr>
        <w:spacing w:after="0" w:line="240" w:lineRule="auto"/>
      </w:pPr>
      <w:r>
        <w:continuationSeparator/>
      </w:r>
    </w:p>
  </w:footnote>
  <w:footnote w:id="1">
    <w:p w14:paraId="68262633" w14:textId="77777777" w:rsidR="0000289F" w:rsidRDefault="00243B8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Зарегистрирован Минюстом России 5 марта 2019 г., регистрационный № 53960.</w:t>
      </w:r>
    </w:p>
    <w:p w14:paraId="1A945091" w14:textId="77777777" w:rsidR="0000289F" w:rsidRDefault="0000289F">
      <w:pPr>
        <w:pStyle w:val="FootnoteText"/>
      </w:pPr>
    </w:p>
  </w:footnote>
  <w:footnote w:id="2">
    <w:p w14:paraId="46E37C94" w14:textId="77777777" w:rsidR="0000289F" w:rsidRDefault="00243B8C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Зарегистрирован Минюстом России 20 декабря 2024 г., регистрационный № 80662.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6061329"/>
      <w:docPartObj>
        <w:docPartGallery w:val="Page Numbers (Top of Page)"/>
        <w:docPartUnique/>
      </w:docPartObj>
    </w:sdtPr>
    <w:sdtEndPr/>
    <w:sdtContent>
      <w:p w14:paraId="5E6F3E70" w14:textId="77777777" w:rsidR="0000289F" w:rsidRDefault="00243B8C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430D7"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CBB259A" w14:textId="77777777" w:rsidR="0000289F" w:rsidRDefault="0000289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89F"/>
    <w:rsid w:val="0000289F"/>
    <w:rsid w:val="002430D7"/>
    <w:rsid w:val="0024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C0F96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Pr>
      <w:b/>
      <w:bCs/>
      <w:color w:val="4472C4" w:themeColor="accent1"/>
      <w:sz w:val="18"/>
      <w:szCs w:val="18"/>
    </w:r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1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Header">
    <w:name w:val="header"/>
    <w:basedOn w:val="Normal"/>
    <w:link w:val="HeaderChar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</w:style>
  <w:style w:type="paragraph" w:styleId="Footer">
    <w:name w:val="footer"/>
    <w:basedOn w:val="Normal"/>
    <w:link w:val="FooterChar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Pr>
      <w:b/>
      <w:bCs/>
      <w:color w:val="4472C4" w:themeColor="accent1"/>
      <w:sz w:val="18"/>
      <w:szCs w:val="18"/>
    </w:r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Liberation Sans" w:hAnsi="Liberation Sans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Liberation Sans" w:hAnsi="Liberation Sans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Liberation Sans" w:hAnsi="Liberation Sans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1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Header">
    <w:name w:val="header"/>
    <w:basedOn w:val="Normal"/>
    <w:link w:val="HeaderChar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DefaultParagraphFont"/>
    <w:link w:val="Header"/>
    <w:uiPriority w:val="99"/>
  </w:style>
  <w:style w:type="paragraph" w:styleId="Footer">
    <w:name w:val="footer"/>
    <w:basedOn w:val="Normal"/>
    <w:link w:val="FooterChar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login.consultant.ru/link/?req=doc&amp;base=LAW&amp;n=451041&amp;dst=100183" TargetMode="External"/><Relationship Id="rId20" Type="http://schemas.openxmlformats.org/officeDocument/2006/relationships/hyperlink" Target="https://login.consultant.ru/link/?req=doc&amp;base=LAW&amp;n=306350&amp;dst=16" TargetMode="External"/><Relationship Id="rId21" Type="http://schemas.openxmlformats.org/officeDocument/2006/relationships/hyperlink" Target="https://login.consultant.ru/link/?req=doc&amp;base=LAW&amp;n=353230&amp;dst=100011" TargetMode="External"/><Relationship Id="rId22" Type="http://schemas.openxmlformats.org/officeDocument/2006/relationships/hyperlink" Target="https://login.consultant.ru/link/?req=doc&amp;base=LAW&amp;n=353230&amp;dst=100011" TargetMode="External"/><Relationship Id="rId23" Type="http://schemas.openxmlformats.org/officeDocument/2006/relationships/hyperlink" Target="https://login.consultant.ru/link/?req=doc&amp;base=LAW&amp;n=306350&amp;dst=16" TargetMode="External"/><Relationship Id="rId24" Type="http://schemas.openxmlformats.org/officeDocument/2006/relationships/hyperlink" Target="https://login.consultant.ru/link/?req=doc&amp;base=LAW&amp;n=306350&amp;dst=16" TargetMode="External"/><Relationship Id="rId25" Type="http://schemas.openxmlformats.org/officeDocument/2006/relationships/hyperlink" Target="https://login.consultant.ru/link/?req=doc&amp;base=LAW&amp;n=353230&amp;dst=100011" TargetMode="External"/><Relationship Id="rId26" Type="http://schemas.openxmlformats.org/officeDocument/2006/relationships/hyperlink" Target="https://login.consultant.ru/link/?req=doc&amp;base=LAW&amp;n=353230&amp;dst=100011" TargetMode="External"/><Relationship Id="rId27" Type="http://schemas.openxmlformats.org/officeDocument/2006/relationships/hyperlink" Target="https://login.consultant.ru/link/?req=doc&amp;base=LAW&amp;n=353230&amp;dst=100011" TargetMode="External"/><Relationship Id="rId28" Type="http://schemas.openxmlformats.org/officeDocument/2006/relationships/hyperlink" Target="https://login.consultant.ru/link/?req=doc&amp;base=LAW&amp;n=353230&amp;dst=100011" TargetMode="External"/><Relationship Id="rId29" Type="http://schemas.openxmlformats.org/officeDocument/2006/relationships/header" Target="header1.xml"/><Relationship Id="rId30" Type="http://schemas.openxmlformats.org/officeDocument/2006/relationships/fontTable" Target="fontTable.xml"/><Relationship Id="rId31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95190&amp;dst=100006" TargetMode="External"/><Relationship Id="rId11" Type="http://schemas.openxmlformats.org/officeDocument/2006/relationships/hyperlink" Target="https://login.consultant.ru/link/?req=doc&amp;base=LAW&amp;n=509574&amp;dst=100015" TargetMode="External"/><Relationship Id="rId12" Type="http://schemas.openxmlformats.org/officeDocument/2006/relationships/hyperlink" Target="https://login.consultant.ru/link/?req=doc&amp;base=LAW&amp;n=509574&amp;dst=100318" TargetMode="External"/><Relationship Id="rId13" Type="http://schemas.openxmlformats.org/officeDocument/2006/relationships/hyperlink" Target="https://login.consultant.ru/link/?req=doc&amp;base=LAW&amp;n=306350&amp;dst=16" TargetMode="External"/><Relationship Id="rId14" Type="http://schemas.openxmlformats.org/officeDocument/2006/relationships/hyperlink" Target="https://login.consultant.ru/link/?req=doc&amp;base=LAW&amp;n=509574&amp;dst=100310" TargetMode="External"/><Relationship Id="rId15" Type="http://schemas.openxmlformats.org/officeDocument/2006/relationships/hyperlink" Target="https://login.consultant.ru/link/?req=doc&amp;base=LAW&amp;n=509574&amp;dst=100310" TargetMode="External"/><Relationship Id="rId16" Type="http://schemas.openxmlformats.org/officeDocument/2006/relationships/hyperlink" Target="https://login.consultant.ru/link/?req=doc&amp;base=LAW&amp;n=509574&amp;dst=100310" TargetMode="External"/><Relationship Id="rId17" Type="http://schemas.openxmlformats.org/officeDocument/2006/relationships/hyperlink" Target="https://login.consultant.ru/link/?req=doc&amp;base=LAW&amp;n=353230&amp;dst=100011" TargetMode="External"/><Relationship Id="rId18" Type="http://schemas.openxmlformats.org/officeDocument/2006/relationships/hyperlink" Target="https://login.consultant.ru/link/?req=doc&amp;base=LAW&amp;n=306350&amp;dst=16" TargetMode="External"/><Relationship Id="rId19" Type="http://schemas.openxmlformats.org/officeDocument/2006/relationships/hyperlink" Target="https://login.consultant.ru/link/?req=doc&amp;base=LAW&amp;n=508980&amp;dst=100776" TargetMode="Externa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login.consultant.ru/link/?req=doc&amp;base=LAW&amp;n=483415&amp;dst=3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B86B8-DEC4-F044-8D64-249534A98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6066</Words>
  <Characters>34580</Characters>
  <Application>Microsoft Macintosh Word</Application>
  <DocSecurity>0</DocSecurity>
  <Lines>288</Lines>
  <Paragraphs>81</Paragraphs>
  <ScaleCrop>false</ScaleCrop>
  <Company>СО ЕЭС</Company>
  <LinksUpToDate>false</LinksUpToDate>
  <CharactersWithSpaces>40565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Абрамова Наталья Владимировна</dc:creator>
  <cp:keywords/>
  <dc:description/>
  <cp:lastModifiedBy>Snegana</cp:lastModifiedBy>
  <cp:revision>6</cp:revision>
  <dcterms:created xsi:type="dcterms:W3CDTF">2026-04-28T10:40:00Z</dcterms:created>
  <dcterms:modified xsi:type="dcterms:W3CDTF">2026-06-15T08:51:00Z</dcterms:modified>
</cp:coreProperties>
</file>