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numPr>
          <w:ilvl w:val="0"/>
          <w:numId w:val="0"/>
        </w:numPr>
        <w:spacing w:afterAutospacing="on" w:beforeAutospacing="on" w:line="600" w:lineRule="atLeast"/>
        <w:ind w:firstLine="0" w:left="0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48"/>
        </w:rPr>
        <w:t xml:space="preserve">Средства индивидуальной мобильности. </w:t>
      </w:r>
      <w:r>
        <w:rPr>
          <w:rFonts w:ascii="Times New Roman" w:hAnsi="Times New Roman"/>
          <w:b w:val="1"/>
          <w:color w:val="000000"/>
          <w:sz w:val="48"/>
        </w:rPr>
        <w:t xml:space="preserve">Правила безопасности на дорогах общего </w:t>
      </w:r>
      <w:r>
        <w:rPr>
          <w:rFonts w:ascii="Times New Roman" w:hAnsi="Times New Roman"/>
          <w:b w:val="1"/>
          <w:color w:val="000000"/>
          <w:sz w:val="48"/>
        </w:rPr>
        <w:t>пользования</w:t>
      </w:r>
    </w:p>
    <w:p w14:paraId="02000000">
      <w:pPr>
        <w:pStyle w:val="Style_1"/>
        <w:widowControl w:val="1"/>
        <w:spacing w:line="240" w:lineRule="auto"/>
        <w:ind/>
        <w:jc w:val="both"/>
      </w:pPr>
      <w:r>
        <w:drawing>
          <wp:inline>
            <wp:extent cx="5940425" cy="2915095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940425" cy="291509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3000000">
      <w:pPr>
        <w:pStyle w:val="Style_1"/>
        <w:widowControl w:val="1"/>
        <w:spacing w:after="210" w:before="90" w:line="240" w:lineRule="auto"/>
        <w:ind w:firstLine="709"/>
        <w:jc w:val="both"/>
        <w:rPr>
          <w:rFonts w:ascii="Times New Roman" w:hAnsi="Times New Roman"/>
          <w:sz w:val="16"/>
        </w:rPr>
      </w:pPr>
    </w:p>
    <w:p w14:paraId="04000000">
      <w:pPr>
        <w:pStyle w:val="Style_1"/>
        <w:widowControl w:val="1"/>
        <w:spacing w:after="210" w:before="9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C наступлением теплых дней на дорогах региона появляются современные виды транспортных средств: электросамокаты, моноколеса, сигвеи, электроскейтборды и аналогичные средства передвижения, которые могут представлять опасность как для</w:t>
      </w:r>
      <w:r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>их владельцев, так и для участников дорожного движения, в том числе для пешеходов.</w:t>
      </w:r>
    </w:p>
    <w:p w14:paraId="05000000">
      <w:pPr>
        <w:pStyle w:val="Style_1"/>
        <w:widowControl w:val="1"/>
        <w:spacing w:after="210" w:before="9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 w:val="1"/>
          <w:color w:val="000000"/>
          <w:sz w:val="24"/>
        </w:rPr>
        <w:t>«Средство индивидуальной мобильности»</w:t>
      </w:r>
      <w:r>
        <w:rPr>
          <w:rFonts w:ascii="Times New Roman" w:hAnsi="Times New Roman"/>
          <w:color w:val="000000"/>
          <w:sz w:val="24"/>
        </w:rPr>
        <w:t> (далее – СИМ) - транспортное средство, имеющее одно или несколько колес (роликов), предназначенное для индивидуального передвижения человека посредством использования двигателя (двигателей) (электросамокаты, электроскейтборды, гироскутеры, сигвеи, моноколеса и иные аналогичные средства).</w:t>
      </w:r>
    </w:p>
    <w:p w14:paraId="06000000">
      <w:pPr>
        <w:pStyle w:val="Style_1"/>
        <w:widowControl w:val="1"/>
        <w:numPr>
          <w:ilvl w:val="0"/>
          <w:numId w:val="1"/>
        </w:numPr>
        <w:spacing w:after="228" w:beforeAutospacing="on" w:line="240" w:lineRule="auto"/>
        <w:ind w:hanging="3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Средство индивидуальной мобильности является транспортным средством. А это означает, что все пункты ПДД, в которых используется термин «транспортное средство», относится и к СИМ. При этом, СИМ не относятся к механическим транспортным средствам. То есть все пункты ПДД, в которых указаны «механические транспортные средства» на СИМ не распространяются.</w:t>
      </w:r>
    </w:p>
    <w:p w14:paraId="07000000">
      <w:pPr>
        <w:pStyle w:val="Style_1"/>
        <w:widowControl w:val="1"/>
        <w:numPr>
          <w:ilvl w:val="0"/>
          <w:numId w:val="1"/>
        </w:numPr>
        <w:spacing w:after="228" w:before="0" w:line="240" w:lineRule="auto"/>
        <w:ind w:hanging="3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Средство индивидуальной мобильности должно иметь как минимум одно колесо и как минимум один двигатель.</w:t>
      </w:r>
    </w:p>
    <w:p w14:paraId="08000000">
      <w:pPr>
        <w:pStyle w:val="Style_1"/>
        <w:widowControl w:val="1"/>
        <w:numPr>
          <w:ilvl w:val="0"/>
          <w:numId w:val="1"/>
        </w:numPr>
        <w:spacing w:after="228" w:before="0" w:line="240" w:lineRule="auto"/>
        <w:ind w:hanging="3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СИМ предназначено для индивидуального передвижения.</w:t>
      </w:r>
    </w:p>
    <w:p w14:paraId="09000000">
      <w:pPr>
        <w:pStyle w:val="Style_1"/>
        <w:widowControl w:val="1"/>
        <w:numPr>
          <w:ilvl w:val="0"/>
          <w:numId w:val="1"/>
        </w:numPr>
        <w:spacing w:after="228" w:before="0" w:line="240" w:lineRule="auto"/>
        <w:ind w:hanging="36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Двигатель средства индивидуальной мобильности не обязательно должен быть электрическим. То есть, возможны и другие типы двигателя.</w:t>
      </w:r>
    </w:p>
    <w:p w14:paraId="0A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Что запрещено водителям средств индивидуальной мобильности?</w:t>
      </w:r>
    </w:p>
    <w:p w14:paraId="0B000000">
      <w:pPr>
        <w:pStyle w:val="Style_1"/>
        <w:widowControl w:val="1"/>
        <w:spacing w:after="210" w:before="9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п. 24.8 ПДД Велосипедистам, лицам, использующим для передвижения средства индивидуальной мобильности, и водителям мопедов запрещается:</w:t>
      </w:r>
    </w:p>
    <w:p w14:paraId="0C000000">
      <w:pPr>
        <w:pStyle w:val="Style_1"/>
        <w:widowControl w:val="1"/>
        <w:numPr>
          <w:ilvl w:val="0"/>
          <w:numId w:val="2"/>
        </w:numPr>
        <w:spacing w:after="180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управлять велосипедом, мопедом и средством индивидуальной мобильности (при наличии руля), не держась за руль хотя бы одной рукой;</w:t>
      </w:r>
    </w:p>
    <w:p w14:paraId="0D000000">
      <w:pPr>
        <w:pStyle w:val="Style_1"/>
        <w:widowControl w:val="1"/>
        <w:numPr>
          <w:ilvl w:val="0"/>
          <w:numId w:val="3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перевозить груз, который выступает более чем на 0,5 м по длине или ширине за габариты, или груз, мешающий управлению;</w:t>
      </w:r>
    </w:p>
    <w:p w14:paraId="0E000000">
      <w:pPr>
        <w:pStyle w:val="Style_1"/>
        <w:widowControl w:val="1"/>
        <w:numPr>
          <w:ilvl w:val="0"/>
          <w:numId w:val="4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перевозить пассажиров, если это не предусмотрено оборудованием или конструкцией велосипеда или средства индивидуальной мобильности;</w:t>
      </w:r>
    </w:p>
    <w:p w14:paraId="0F000000">
      <w:pPr>
        <w:pStyle w:val="Style_1"/>
        <w:widowControl w:val="1"/>
        <w:numPr>
          <w:ilvl w:val="0"/>
          <w:numId w:val="5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перевозить детей до 7 лет при отсутствии специально оборудованных для них мест;</w:t>
      </w:r>
    </w:p>
    <w:p w14:paraId="10000000">
      <w:pPr>
        <w:pStyle w:val="Style_1"/>
        <w:widowControl w:val="1"/>
        <w:numPr>
          <w:ilvl w:val="0"/>
          <w:numId w:val="6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поворачивать налево или разворачиваться на дорогах с трамвайным движением и на дорогах, имеющих более одной полосы для движения в данном направлении (кроме случаев, когда из правой полосы разрешен поворот налево, и за исключением дорог, находящихся в  велосипедных зонах);</w:t>
      </w:r>
    </w:p>
    <w:p w14:paraId="11000000">
      <w:pPr>
        <w:pStyle w:val="Style_1"/>
        <w:widowControl w:val="1"/>
        <w:numPr>
          <w:ilvl w:val="0"/>
          <w:numId w:val="7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двигаться по дороге без застегнутого мотошлема (для водителей мопедов);</w:t>
      </w:r>
    </w:p>
    <w:p w14:paraId="12000000">
      <w:pPr>
        <w:pStyle w:val="Style_1"/>
        <w:widowControl w:val="1"/>
        <w:numPr>
          <w:ilvl w:val="0"/>
          <w:numId w:val="8"/>
        </w:numPr>
        <w:spacing w:after="180" w:before="0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пересекать дорогу по пешеходным переходам.</w:t>
      </w:r>
    </w:p>
    <w:p w14:paraId="13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Обозначение СИМ в светлое время суток</w:t>
      </w:r>
    </w:p>
    <w:p w14:paraId="14000000">
      <w:pPr>
        <w:pStyle w:val="Style_1"/>
        <w:widowControl w:val="1"/>
        <w:numPr>
          <w:ilvl w:val="0"/>
          <w:numId w:val="9"/>
        </w:numPr>
        <w:spacing w:after="180" w:beforeAutospacing="on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п. 19.5. В светлое время суток на всех движущихся транспортных средствах (кроме велосипедов) с целью их обозначения должны включаться фары ближнего света или дневные ходовые огни.</w:t>
      </w:r>
    </w:p>
    <w:p w14:paraId="15000000">
      <w:pPr>
        <w:pStyle w:val="Style_1"/>
        <w:widowControl w:val="1"/>
        <w:numPr>
          <w:ilvl w:val="0"/>
          <w:numId w:val="10"/>
        </w:numPr>
        <w:spacing w:after="180" w:before="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п. 19.5 ПДД говорит о том, что днем на всех движущихся СИМ должны быть включены фары ближнего света или дневные ходовые огни.</w:t>
      </w:r>
    </w:p>
    <w:p w14:paraId="16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Обозначение СИМ в темное время суток</w:t>
      </w:r>
    </w:p>
    <w:p w14:paraId="17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- п. 19.1. В темное время суток и в условиях недостаточной видимости независимо от освещения дороги, а также в тоннелях на движущемся транспортном средстве должны быть включены следующие световые приборы: на всех механических транспортных средствах - фары дальнего или ближнего света, на велосипедах и средствах индивидуальной мобильности - фары или фонари, на гужевых повозках - фонари (при их наличии);</w:t>
      </w:r>
    </w:p>
    <w:p w14:paraId="18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В темное время суток на средствах индивидуальной мобильности должны использоваться фары или фонари.</w:t>
      </w:r>
    </w:p>
    <w:p w14:paraId="19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 xml:space="preserve">- п. 24.10. При движении в темное время суток или в условиях недостаточной видимости велосипедистам, лицам, использующим для передвижения средства индивидуальной мобильности, и водителям мопедов рекомендуется, а вне населенных пунктов указанные лица обязаны иметь при себе предметы со световозвращающими элементами и обеспечивать видимость этих предметов водителями других транспортных </w:t>
      </w:r>
      <w:r>
        <w:rPr>
          <w:rFonts w:ascii="Times New Roman" w:hAnsi="Times New Roman"/>
          <w:color w:val="000000"/>
          <w:sz w:val="24"/>
        </w:rPr>
        <w:t>с</w:t>
      </w:r>
      <w:r>
        <w:rPr>
          <w:rFonts w:ascii="Times New Roman" w:hAnsi="Times New Roman"/>
          <w:color w:val="000000"/>
          <w:sz w:val="24"/>
        </w:rPr>
        <w:t>редств.</w:t>
      </w:r>
    </w:p>
    <w:p w14:paraId="1A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Где может ездить на СИМ ребенок от 7 до 14 лет?</w:t>
      </w:r>
    </w:p>
    <w:p w14:paraId="1B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24.3. Движение велосипедистов в возрасте от 7 до 14 лет и лиц, использующих для передвижения средства индивидуальной мобильности, в возрасте от 7 до 14 лет должно осуществляться только по тротуарам, пешеходным, велосипедным и велопешеходным дорожкам, а также в пределах пешеходных зон. Запрещено по:</w:t>
      </w:r>
    </w:p>
    <w:p w14:paraId="1C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велопешеходным дорожкам (по пешеходной части);</w:t>
      </w:r>
    </w:p>
    <w:p w14:paraId="1D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велосипедным зонам;</w:t>
      </w:r>
    </w:p>
    <w:p w14:paraId="1E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полосам для велосипедистов;</w:t>
      </w:r>
    </w:p>
    <w:p w14:paraId="1F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обочинам;</w:t>
      </w:r>
    </w:p>
    <w:p w14:paraId="20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проезжей части дорог.</w:t>
      </w:r>
    </w:p>
    <w:p w14:paraId="21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Где может ездить на СИМ взрослый (старше 14 лет)?</w:t>
      </w:r>
    </w:p>
    <w:p w14:paraId="22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24.1. Движение велосипедистов в возрасте старше 14 лет и лиц, использующих для передвижения средства индивидуальной мобильности, в возрасте старше 14 лет должно осуществляться по велосипедной, велопешеходной дорожкам, проезжей части велосипедной зоны или полосе для велосипедистов.</w:t>
      </w:r>
    </w:p>
    <w:p w14:paraId="23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24.21 . Допускается движение лиц в возрасте старше 14 лет, использующих для передвижения средства индивидуальной мобильности:</w:t>
      </w:r>
    </w:p>
    <w:p w14:paraId="24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в пешеходной зоне - в случае, если масса средства индивидуальной мобильности не превышает 35 кг;</w:t>
      </w:r>
    </w:p>
    <w:p w14:paraId="25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по тротуару, пешеходной дорожке - в случае, если масса средства индивидуальной мобильности не превышает 35 кг, и при соблюдении одного из следующих условий:</w:t>
      </w:r>
    </w:p>
    <w:p w14:paraId="26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отсутствуют велосипедная и велопешеходная дорожки, полоса для велосипедистов либо отсутствует возможность двигаться по ним;</w:t>
      </w:r>
    </w:p>
    <w:p w14:paraId="27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лицо, использующее для передвижения средство индивидуальной мобильности, сопровождает ребенка в возрасте до 14 лет, использующего для передвижения средство индивидуальной мобильности, или велосипедиста в возрасте до 14 лет;</w:t>
      </w:r>
    </w:p>
    <w:p w14:paraId="28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по обочине - в случае, если отсутствуют велосипедная и велопешеходная дорожки, полоса для велосипедистов, тротуар, пешеходная дорожка либо отсутствует возможность двигаться по ним;</w:t>
      </w:r>
    </w:p>
    <w:p w14:paraId="29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по правому краю проезжей части дороги при соблюдении одновременно следующих условий: - отсутствуют велосипедная и велопешеходная дорожки, полоса для велосипедистов, тротуар, пешеходная дорожка, обочина либо отсутствует возможность двигаться по ним; - на дороге разрешено движение транспортных средств со скоростью не более 60 км/ч, а также движение велосипедов; - средство индивидуальной мобильности оборудовано тормозной системой, звуковым сигналом, световозвращателями белого цвета спереди, оранжевого или красного цвета с боковых сторон, красного цвета сзади, фарой (фонарем) белого цвета спереди.</w:t>
      </w:r>
    </w:p>
    <w:p w14:paraId="2A000000">
      <w:pPr>
        <w:pStyle w:val="Style_1"/>
        <w:widowControl w:val="1"/>
        <w:spacing w:after="210" w:before="9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24"/>
        </w:rPr>
        <w:t>Внимание! Ограничение на движение СИМ массой более 35 кг по тротуарам, пешеходным дорожкам и пешеходным зонам распространяется только на взрослых водителей СИМ (старше 14 лет). На детей до 14 лет такие ограничения не распространяются, то есть дети могут ездить на тяжелых СИМ в том числе и по тротуарам.</w:t>
      </w:r>
    </w:p>
    <w:p w14:paraId="2B000000">
      <w:pPr>
        <w:pStyle w:val="Style_1"/>
        <w:widowControl w:val="1"/>
        <w:numPr>
          <w:ilvl w:val="0"/>
          <w:numId w:val="0"/>
        </w:numPr>
        <w:spacing w:after="210" w:beforeAutospacing="on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drawing>
          <wp:inline>
            <wp:extent cx="5355590" cy="3568065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5355590" cy="356806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C000000">
      <w:pPr>
        <w:pStyle w:val="Style_1"/>
        <w:widowControl w:val="1"/>
        <w:numPr>
          <w:ilvl w:val="0"/>
          <w:numId w:val="0"/>
        </w:numPr>
        <w:spacing w:after="210" w:beforeAutospacing="on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Движение СИМ запрещено:</w:t>
      </w:r>
    </w:p>
    <w:p w14:paraId="2D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 xml:space="preserve">- тротуары (если масса СИМ больше 35 кг); </w:t>
      </w:r>
    </w:p>
    <w:p w14:paraId="2E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 xml:space="preserve">- пешеходные дорожки (если масса СИМ больше 35 кг); </w:t>
      </w:r>
    </w:p>
    <w:p w14:paraId="2F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 xml:space="preserve">- пешеходные зоны (если масса СИМ больше 35 кг). </w:t>
      </w:r>
    </w:p>
    <w:p w14:paraId="30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 xml:space="preserve">- велопешеходные дорожки (по пешеходной части); </w:t>
      </w:r>
    </w:p>
    <w:p w14:paraId="31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проезжая часть дороги (если разрешенная скорость превышает 60 км/ч, или если запрещено движение велосипедистов, или если на СИМ нет тормозов, звукового сигнала, световозвращателей или фары).</w:t>
      </w:r>
    </w:p>
    <w:p w14:paraId="32000000">
      <w:pPr>
        <w:pStyle w:val="Style_1"/>
        <w:widowControl w:val="1"/>
        <w:spacing w:after="210" w:before="90" w:line="240" w:lineRule="auto"/>
        <w:ind/>
        <w:jc w:val="both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24"/>
        </w:rPr>
        <w:t>Внимание! Взрослый на СИМ может ехать по тротуару, если он сопровождает ребенка на велосипеде. Однако, взрослый на велосипеде не имеет права ехать по тротуару, если он сопровождает ребенка на СИМ.</w:t>
      </w:r>
    </w:p>
    <w:p w14:paraId="33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Сигналы светофоров для СИМ </w:t>
      </w:r>
    </w:p>
    <w:p w14:paraId="34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6.5. Если сигнал светофора выполнен в виде силуэта пешехода, то его действие распространяется только на пешеходов. Если сигнал светофора выполнен в виде велосипеда, то его действие распространяется на велосипедистов и водителей мопедов, движущихся по велосипедной полосе. Лица, использующие для передвижения средства индивидуальной мобильности в соответствии с пунктом 24.21 настоящих Правил, должны руководствоваться сигналами светофора в виде силуэта пешехода либо велосипеда при их движении соответственно по тротуару, пешеходной дорожке либо по велосипедной, велопешеходной дорожкам, полосе для велосипедистов. При этом зеленый сигнал разрешает, а красный сигнал запрещает движение пешеходов, велосипедистов и лиц, использующих для передвижения средства индивидуальной мобильности.</w:t>
      </w:r>
    </w:p>
    <w:p w14:paraId="35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Сигналы регулировщика для средств индивидуальной мобильности движение пешеходов через перекресток, регулируемый регулировщиком, допускается в двух случаях:</w:t>
      </w:r>
    </w:p>
    <w:p w14:paraId="36000000">
      <w:pPr>
        <w:pStyle w:val="Style_1"/>
        <w:widowControl w:val="1"/>
        <w:numPr>
          <w:ilvl w:val="0"/>
          <w:numId w:val="11"/>
        </w:numPr>
        <w:spacing w:after="228" w:beforeAutospacing="on" w:line="240" w:lineRule="auto"/>
        <w:ind w:hanging="360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Если правая рука регулировщика вытянута вперед, то пешеходы переходят проезжую часть со стороны спины регулировщика.</w:t>
      </w:r>
    </w:p>
    <w:p w14:paraId="37000000">
      <w:pPr>
        <w:pStyle w:val="Style_1"/>
        <w:widowControl w:val="1"/>
        <w:numPr>
          <w:ilvl w:val="0"/>
          <w:numId w:val="11"/>
        </w:numPr>
        <w:spacing w:after="228" w:before="0" w:line="240" w:lineRule="auto"/>
        <w:ind w:hanging="360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Если обе руки регулировщика вытянуты в стороны, то пешеходы переходят проезжую часть со стороны груди и со стороны спины регулировщика.</w:t>
      </w:r>
    </w:p>
    <w:p w14:paraId="38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Скорость движения СИМ</w:t>
      </w:r>
    </w:p>
    <w:p w14:paraId="39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- п. 24.6. Движение лиц, использующих для передвижения средства индивидуальной мобильности, разрешается со скоростью не более 25 км/ч. Важно понимать, что 25 км/ч - это максимальная скорость, однако на некоторых участках дорог могут быть установлены дополнительные ограничения:</w:t>
      </w:r>
    </w:p>
    <w:p w14:paraId="3A000000">
      <w:pPr>
        <w:pStyle w:val="Style_1"/>
        <w:widowControl w:val="1"/>
        <w:spacing w:after="180" w:before="0" w:line="240" w:lineRule="auto"/>
        <w:ind w:firstLine="709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- Например, в жилых зонах и на дворовых территориях любое транспортное средство (в том числе и СИМ) не должно превышать скорость 20 км/ч (пункт 10.2 ПДД).</w:t>
      </w:r>
    </w:p>
    <w:p w14:paraId="3B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Движение СИМ по проезжей части </w:t>
      </w:r>
    </w:p>
    <w:p w14:paraId="3C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24.5. Движение велосипедистов и лиц, использующих для передвижения средства индивидуальной мобильности, по правому краю проезжей части в случаях, предусмотренных настоящими Правилами, должно осуществляться только в один ряд. При этом лицам, использующим для передвижения средства индивидуальной мобильности, запрещаются обгон или объезд с левой стороны транспортного средства.</w:t>
      </w:r>
    </w:p>
    <w:p w14:paraId="3D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Движение пешехода с СИМ по проезжей части</w:t>
      </w:r>
    </w:p>
    <w:p w14:paraId="3E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При движении по краю проезжей части пешеходы должны идти навстречу движению транспортных средств. Лица, передвигающиеся в инвалидных колясках, ведущие мотоцикл, мопед, велосипед, средство индивидуальной мобильности, в этих случаях должны следовать по ходу движения транспортных средств.</w:t>
      </w:r>
    </w:p>
    <w:p w14:paraId="3F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Приоритет СИМ при выезде из жилой зоны</w:t>
      </w:r>
    </w:p>
    <w:p w14:paraId="40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17.3. При выезде из жилой зоны водители и лица, использующие для передвижения средства индивидуальной мобильности, должны уступить дорогу другим участникам дорожного движения.</w:t>
      </w:r>
    </w:p>
    <w:p w14:paraId="41000000">
      <w:pPr>
        <w:pStyle w:val="Style_1"/>
        <w:widowControl w:val="1"/>
        <w:numPr>
          <w:ilvl w:val="0"/>
          <w:numId w:val="0"/>
        </w:numPr>
        <w:spacing w:after="210" w:before="300" w:line="479" w:lineRule="atLeast"/>
        <w:ind w:firstLine="0" w:left="0"/>
        <w:jc w:val="center"/>
        <w:outlineLvl w:val="1"/>
        <w:rPr>
          <w:rFonts w:ascii="Times New Roman" w:hAnsi="Times New Roman"/>
        </w:rPr>
      </w:pPr>
      <w:r>
        <w:rPr>
          <w:rFonts w:ascii="Times New Roman" w:hAnsi="Times New Roman"/>
          <w:b w:val="1"/>
          <w:color w:val="000000"/>
          <w:sz w:val="36"/>
        </w:rPr>
        <w:t>Приоритет пешеходов перед СИМ</w:t>
      </w:r>
    </w:p>
    <w:p w14:paraId="42000000">
      <w:pPr>
        <w:pStyle w:val="Style_1"/>
        <w:widowControl w:val="1"/>
        <w:spacing w:after="180" w:beforeAutospacing="on" w:line="240" w:lineRule="auto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4"/>
        </w:rPr>
        <w:t>- п. 24.6 Если движение велосипедиста или лица, использующего для передвижения средство индивидуальной мобильности, в случаях, предусмотренных настоящими Правилами, по тротуару, пешеходной дорожке, обочине или в пределах пешеходных зон (включая велосипедные дорожки, находящиеся в пешеходных зонах) подвергает опасности или создает помехи для движения пешеходов, велосипедист должен спешиться и руководствоваться требованиями, предусмотренными настоящими Правилами для движения пешеходов, а лицо, использующее для передвижения средство индивидуальной мобильности, спешиться или снизить скорость до скорости, не превышающей скорость движения пешеходов.</w:t>
      </w:r>
    </w:p>
    <w:p w14:paraId="43000000">
      <w:pPr>
        <w:pStyle w:val="Style_1"/>
        <w:widowControl w:val="1"/>
        <w:spacing w:after="180" w:beforeAutospacing="on" w:line="240" w:lineRule="auto"/>
        <w:ind w:firstLine="0" w:left="0" w:right="284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drawing>
          <wp:inline>
            <wp:extent cx="6012181" cy="1828800"/>
            <wp:docPr hidden="false" id="5" name="Picture 5"/>
            <a:graphic>
              <a:graphicData uri="http://schemas.openxmlformats.org/drawingml/2006/picture">
                <pic:pic>
                  <pic:nvPicPr>
                    <pic:cNvPr hidden="false" id="6" name="Picture 6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6012181" cy="182880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type w:val="nextPage"/>
      <w:pgSz w:h="16838" w:orient="portrait" w:w="11906"/>
      <w:pgMar w:bottom="964" w:footer="0" w:gutter="0" w:header="0" w:left="1701" w:right="850" w:top="851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abstractNum w:abstractNumId="1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4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5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6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7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8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9">
    <w:lvl w:ilvl="0">
      <w:numFmt w:val="bullet"/>
      <w:lvlText w:val="-"/>
      <w:pPr>
        <w:widowControl w:val="1"/>
        <w:ind w:hanging="360" w:left="720"/>
      </w:pPr>
      <w:rPr>
        <w:rFonts w:ascii="Calibri" w:hAnsi="Calibri"/>
      </w:rPr>
    </w:lvl>
    <w:lvl w:ilvl="1">
      <w:numFmt w:val="bullet"/>
      <w:lvlText w:val="o"/>
      <w:pPr>
        <w:widowControl w:val="1"/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widowControl w:val="1"/>
        <w:ind w:hanging="360" w:left="2160"/>
      </w:pPr>
      <w:rPr>
        <w:rFonts w:ascii="Wingdings" w:hAnsi="Wingdings"/>
      </w:rPr>
    </w:lvl>
    <w:lvl w:ilvl="3">
      <w:numFmt w:val="bullet"/>
      <w:lvlText w:val="-"/>
      <w:pPr>
        <w:widowControl w:val="1"/>
        <w:ind w:hanging="360" w:left="2880"/>
      </w:pPr>
      <w:rPr>
        <w:rFonts w:ascii="Calibri" w:hAnsi="Calibri"/>
      </w:rPr>
    </w:lvl>
    <w:lvl w:ilvl="4">
      <w:numFmt w:val="bullet"/>
      <w:lvlText w:val="o"/>
      <w:pPr>
        <w:widowControl w:val="1"/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widowControl w:val="1"/>
        <w:ind w:hanging="360" w:left="4320"/>
      </w:pPr>
      <w:rPr>
        <w:rFonts w:ascii="Wingdings" w:hAnsi="Wingdings"/>
      </w:rPr>
    </w:lvl>
    <w:lvl w:ilvl="6">
      <w:numFmt w:val="bullet"/>
      <w:lvlText w:val="-"/>
      <w:pPr>
        <w:widowControl w:val="1"/>
        <w:ind w:hanging="360" w:left="5040"/>
      </w:pPr>
      <w:rPr>
        <w:rFonts w:ascii="Calibri" w:hAnsi="Calibri"/>
      </w:rPr>
    </w:lvl>
    <w:lvl w:ilvl="7">
      <w:numFmt w:val="bullet"/>
      <w:lvlText w:val="o"/>
      <w:pPr>
        <w:widowControl w:val="1"/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widowControl w:val="1"/>
        <w:ind w:hanging="360" w:left="6480"/>
      </w:pPr>
      <w:rPr>
        <w:rFonts w:ascii="Wingdings" w:hAnsi="Wingdings"/>
      </w:rPr>
    </w:lvl>
  </w:abstractNum>
  <w:abstractNum w:abstractNumId="10">
    <w:lvl w:ilvl="0">
      <w:start w:val="1"/>
      <w:numFmt w:val="decimal"/>
      <w:lvlText w:val="%1."/>
      <w:lvlJc w:val="left"/>
      <w:pPr>
        <w:widowControl w:val="1"/>
        <w:tabs>
          <w:tab w:leader="none" w:pos="72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widowControl w:val="1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after="200" w:before="0" w:line="276" w:lineRule="auto"/>
      <w:ind/>
      <w:jc w:val="left"/>
    </w:pPr>
    <w:rPr>
      <w:rFonts w:asciiTheme="minorAscii" w:hAnsiTheme="minorHAnsi"/>
      <w:color w:val="000000"/>
      <w:sz w:val="22"/>
    </w:rPr>
  </w:style>
  <w:style w:default="1" w:styleId="Style_1_ch" w:type="character">
    <w:name w:val="Normal"/>
    <w:link w:val="Style_1"/>
    <w:rPr>
      <w:rFonts w:asciiTheme="minorAscii" w:hAnsiTheme="minorHAnsi"/>
      <w:color w:val="000000"/>
      <w:sz w:val="22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List"/>
    <w:basedOn w:val="Style_5"/>
    <w:link w:val="Style_4_ch"/>
  </w:style>
  <w:style w:styleId="Style_4_ch" w:type="character">
    <w:name w:val="List"/>
    <w:basedOn w:val="Style_5_ch"/>
    <w:link w:val="Style_4"/>
  </w:style>
  <w:style w:styleId="Style_6" w:type="paragraph">
    <w:name w:val="toc 6"/>
    <w:next w:val="Style_1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Заголовок 1 Знак"/>
    <w:basedOn w:val="Style_9"/>
    <w:link w:val="Style_8_ch"/>
    <w:rPr>
      <w:rFonts w:ascii="Times New Roman" w:hAnsi="Times New Roman"/>
      <w:b w:val="1"/>
      <w:sz w:val="48"/>
    </w:rPr>
  </w:style>
  <w:style w:styleId="Style_8_ch" w:type="character">
    <w:name w:val="Заголовок 1 Знак"/>
    <w:basedOn w:val="Style_9_ch"/>
    <w:link w:val="Style_8"/>
    <w:rPr>
      <w:rFonts w:ascii="Times New Roman" w:hAnsi="Times New Roman"/>
      <w:b w:val="1"/>
      <w:sz w:val="4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1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Заголовок 2 Знак"/>
    <w:basedOn w:val="Style_9"/>
    <w:link w:val="Style_12_ch"/>
    <w:rPr>
      <w:rFonts w:ascii="Times New Roman" w:hAnsi="Times New Roman"/>
      <w:b w:val="1"/>
      <w:sz w:val="36"/>
    </w:rPr>
  </w:style>
  <w:style w:styleId="Style_12_ch" w:type="character">
    <w:name w:val="Заголовок 2 Знак"/>
    <w:basedOn w:val="Style_9_ch"/>
    <w:link w:val="Style_12"/>
    <w:rPr>
      <w:rFonts w:ascii="Times New Roman" w:hAnsi="Times New Roman"/>
      <w:b w:val="1"/>
      <w:sz w:val="36"/>
    </w:rPr>
  </w:style>
  <w:style w:styleId="Style_13" w:type="paragraph">
    <w:name w:val="caption"/>
    <w:basedOn w:val="Style_1"/>
    <w:link w:val="Style_13_ch"/>
    <w:pPr>
      <w:widowControl w:val="1"/>
      <w:spacing w:after="120" w:before="120"/>
      <w:ind/>
    </w:pPr>
    <w:rPr>
      <w:i w:val="1"/>
      <w:sz w:val="24"/>
    </w:rPr>
  </w:style>
  <w:style w:styleId="Style_13_ch" w:type="character">
    <w:name w:val="caption"/>
    <w:basedOn w:val="Style_1_ch"/>
    <w:link w:val="Style_13"/>
    <w:rPr>
      <w:i w:val="1"/>
      <w:sz w:val="24"/>
    </w:rPr>
  </w:style>
  <w:style w:styleId="Style_14" w:type="paragraph">
    <w:name w:val="Заголовок (user)"/>
    <w:basedOn w:val="Style_1"/>
    <w:next w:val="Style_5"/>
    <w:link w:val="Style_14_ch"/>
    <w:pPr>
      <w:keepNext w:val="1"/>
      <w:widowControl w:val="1"/>
      <w:spacing w:after="120" w:before="240"/>
      <w:ind/>
    </w:pPr>
    <w:rPr>
      <w:rFonts w:ascii="Liberation Sans" w:hAnsi="Liberation Sans"/>
      <w:sz w:val="28"/>
    </w:rPr>
  </w:style>
  <w:style w:styleId="Style_14_ch" w:type="character">
    <w:name w:val="Заголовок (user)"/>
    <w:basedOn w:val="Style_1_ch"/>
    <w:link w:val="Style_14"/>
    <w:rPr>
      <w:rFonts w:ascii="Liberation Sans" w:hAnsi="Liberation Sans"/>
      <w:sz w:val="28"/>
    </w:rPr>
  </w:style>
  <w:style w:styleId="Style_15" w:type="paragraph">
    <w:name w:val="Заголовок"/>
    <w:basedOn w:val="Style_1"/>
    <w:next w:val="Style_5"/>
    <w:link w:val="Style_15_ch"/>
    <w:pPr>
      <w:keepNext w:val="1"/>
      <w:widowControl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Заголовок"/>
    <w:basedOn w:val="Style_1_ch"/>
    <w:link w:val="Style_15"/>
    <w:rPr>
      <w:rFonts w:ascii="Liberation Sans" w:hAnsi="Liberation San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6" w:type="paragraph">
    <w:name w:val="toc 3"/>
    <w:next w:val="Style_1"/>
    <w:link w:val="Style_1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heading 5"/>
    <w:next w:val="Style_1"/>
    <w:link w:val="Style_17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basedOn w:val="Style_1"/>
    <w:link w:val="Style_18_ch"/>
    <w:uiPriority w:val="9"/>
    <w:qFormat/>
    <w:pPr>
      <w:widowControl w:val="1"/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8_ch" w:type="character">
    <w:name w:val="heading 1"/>
    <w:basedOn w:val="Style_1_ch"/>
    <w:link w:val="Style_18"/>
    <w:rPr>
      <w:rFonts w:ascii="Times New Roman" w:hAnsi="Times New Roman"/>
      <w:b w:val="1"/>
      <w:sz w:val="48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1"/>
    <w:link w:val="Style_2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1_ch" w:type="character">
    <w:name w:val="toc 1"/>
    <w:link w:val="Style_21"/>
    <w:rPr>
      <w:rFonts w:ascii="XO Thames" w:hAnsi="XO Thames"/>
      <w:b w:val="1"/>
      <w:sz w:val="28"/>
    </w:rPr>
  </w:style>
  <w:style w:styleId="Style_22" w:type="paragraph">
    <w:name w:val="Указатель (user)"/>
    <w:basedOn w:val="Style_1"/>
    <w:link w:val="Style_22_ch"/>
  </w:style>
  <w:style w:styleId="Style_22_ch" w:type="character">
    <w:name w:val="Указатель (user)"/>
    <w:basedOn w:val="Style_1_ch"/>
    <w:link w:val="Style_22"/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Normal (Web)"/>
    <w:basedOn w:val="Style_1"/>
    <w:link w:val="Style_24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4_ch" w:type="character">
    <w:name w:val="Normal (Web)"/>
    <w:basedOn w:val="Style_1_ch"/>
    <w:link w:val="Style_24"/>
    <w:rPr>
      <w:rFonts w:ascii="Times New Roman" w:hAnsi="Times New Roman"/>
      <w:sz w:val="24"/>
    </w:rPr>
  </w:style>
  <w:style w:styleId="Style_25" w:type="paragraph">
    <w:name w:val="toc 9"/>
    <w:next w:val="Style_1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5" w:type="paragraph">
    <w:name w:val="Body Text"/>
    <w:basedOn w:val="Style_1"/>
    <w:link w:val="Style_5_ch"/>
    <w:pPr>
      <w:widowControl w:val="1"/>
      <w:spacing w:after="140" w:before="0" w:line="276" w:lineRule="auto"/>
      <w:ind/>
    </w:pPr>
  </w:style>
  <w:style w:styleId="Style_5_ch" w:type="character">
    <w:name w:val="Body Text"/>
    <w:basedOn w:val="Style_1_ch"/>
    <w:link w:val="Style_5"/>
  </w:style>
  <w:style w:styleId="Style_26" w:type="paragraph">
    <w:name w:val="Strong"/>
    <w:basedOn w:val="Style_9"/>
    <w:link w:val="Style_26_ch"/>
    <w:rPr>
      <w:b w:val="1"/>
    </w:rPr>
  </w:style>
  <w:style w:styleId="Style_26_ch" w:type="character">
    <w:name w:val="Strong"/>
    <w:basedOn w:val="Style_9_ch"/>
    <w:link w:val="Style_26"/>
    <w:rPr>
      <w:b w:val="1"/>
    </w:rPr>
  </w:style>
  <w:style w:styleId="Style_27" w:type="paragraph">
    <w:name w:val="Balloon Text"/>
    <w:basedOn w:val="Style_1"/>
    <w:link w:val="Style_27_ch"/>
    <w:pPr>
      <w:widowControl w:val="1"/>
      <w:spacing w:after="0" w:before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1_ch"/>
    <w:link w:val="Style_27"/>
    <w:rPr>
      <w:rFonts w:ascii="Tahoma" w:hAnsi="Tahoma"/>
      <w:sz w:val="16"/>
    </w:rPr>
  </w:style>
  <w:style w:styleId="Style_28" w:type="paragraph">
    <w:name w:val="toc 8"/>
    <w:next w:val="Style_1"/>
    <w:link w:val="Style_2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1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1"/>
    <w:link w:val="Style_3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Указатель"/>
    <w:basedOn w:val="Style_1"/>
    <w:link w:val="Style_31_ch"/>
  </w:style>
  <w:style w:styleId="Style_31_ch" w:type="character">
    <w:name w:val="Указатель"/>
    <w:basedOn w:val="Style_1_ch"/>
    <w:link w:val="Style_31"/>
  </w:style>
  <w:style w:styleId="Style_32" w:type="paragraph">
    <w:name w:val="Title"/>
    <w:next w:val="Style_1"/>
    <w:link w:val="Style_3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2_ch" w:type="character">
    <w:name w:val="Title"/>
    <w:link w:val="Style_32"/>
    <w:rPr>
      <w:rFonts w:ascii="XO Thames" w:hAnsi="XO Thames"/>
      <w:b w:val="1"/>
      <w:caps w:val="1"/>
      <w:sz w:val="40"/>
    </w:rPr>
  </w:style>
  <w:style w:styleId="Style_33" w:type="paragraph">
    <w:name w:val="heading 4"/>
    <w:next w:val="Style_1"/>
    <w:link w:val="Style_3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3_ch" w:type="character">
    <w:name w:val="heading 4"/>
    <w:link w:val="Style_33"/>
    <w:rPr>
      <w:rFonts w:ascii="XO Thames" w:hAnsi="XO Thames"/>
      <w:b w:val="1"/>
      <w:sz w:val="24"/>
    </w:rPr>
  </w:style>
  <w:style w:styleId="Style_34" w:type="paragraph">
    <w:name w:val="heading 2"/>
    <w:basedOn w:val="Style_1"/>
    <w:link w:val="Style_34_ch"/>
    <w:uiPriority w:val="9"/>
    <w:qFormat/>
    <w:pPr>
      <w:widowControl w:val="1"/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34_ch" w:type="character">
    <w:name w:val="heading 2"/>
    <w:basedOn w:val="Style_1_ch"/>
    <w:link w:val="Style_34"/>
    <w:rPr>
      <w:rFonts w:ascii="Times New Roman" w:hAnsi="Times New Roman"/>
      <w:b w:val="1"/>
      <w:sz w:val="36"/>
    </w:rPr>
  </w:style>
  <w:style w:default="1" w:styleId="Style_35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media/1.jpeg" Type="http://schemas.openxmlformats.org/officeDocument/2006/relationships/image"/>
  <Relationship Id="rId10" Target="numbering.xml" Type="http://schemas.openxmlformats.org/officeDocument/2006/relationships/numbering"/>
  <Relationship Id="rId2" Target="media/2.jpeg" Type="http://schemas.openxmlformats.org/officeDocument/2006/relationships/image"/>
  <Relationship Id="rId3" Target="media/3.jpe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2026-06-10T10:25:00Z</dcterms:created>
  <dcterms:modified xsi:type="dcterms:W3CDTF">2026-06-17T10:14:21Z</dcterms:modified>
</cp:coreProperties>
</file>