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Bdr>
          <w:bottom w:val="single" w:color="999999" w:sz="6" w:space="4"/>
        </w:pBdr>
        <w:spacing w:after="300"/>
      </w:pPr>
      <w:r>
        <w:rPr>
          <w:rFonts w:ascii="Times New Roman" w:cs="Times New Roman" w:eastAsia="Times New Roman" w:hAnsi="Times New Roman"/>
          <w:i/>
          <w:iCs/>
          <w:color w:val="666666"/>
          <w:sz w:val="20"/>
          <w:szCs w:val="20"/>
        </w:rPr>
        <w:t xml:space="preserve">ОБРАЗЕЦ / ШАБЛОН. Перед подачей заполните все поля в скобках [ ], приложите подтверждающие документы и, по возможности, проверьте документ с юристом, специализирующимся на спорах с маркетплейсами. Актуальные реквизиты ответчика проверьте перед подачей на сайте ФНС (egrul.nalog.ru) — они могут измениться.</w:t>
      </w:r>
    </w:p>
    <w:p>
      <w:pPr>
        <w:pBdr>
          <w:bottom w:val="single" w:color="999999" w:sz="6" w:space="4"/>
        </w:pBdr>
        <w:spacing w:after="300" w:before="100"/>
      </w:pPr>
      <w:r>
        <w:rPr>
          <w:rFonts w:ascii="Times New Roman" w:cs="Times New Roman" w:eastAsia="Times New Roman" w:hAnsi="Times New Roman"/>
          <w:i/>
          <w:iCs/>
          <w:color w:val="666666"/>
          <w:sz w:val="20"/>
          <w:szCs w:val="20"/>
        </w:rPr>
        <w:t xml:space="preserve">ВАЖНО: ВЫБОР СУДА ЗАВИСИТ ОТ СТАТУСА ПРОДАВЦА. Если Истец — юридическое лицо (ООО, АО) или индивидуальный предприниматель (ИП), спор является экономическим и подсуден Арбитражному суду Московской области — договорная подсудность установлена офертой ООО «РВБ» (раздел «Заключительные положения»). Если Истец — физическое лицо, применяющее налог на профессиональный доход (самозанятый), без статуса ИП, спор подсуден суду общей юрисдикции: та же оферта прямо указывает — Савёловский районный суд города Москвы (по сложившейся судебной практике самозанятые граждане без статуса ИП не признаются субъектами предпринимательской деятельности для целей ст. 27 АПК РФ и не могут быть стороной арбитражного процесса, кроме дел о банкротстве). В этом случае в документе необходимо: (1) заменить наименование суда на «Савёловский районный суд города Москвы»; (2) заменить ссылки на статьи АПК РФ на соответствующие статьи ГПК РФ (ст. 131–132 ГПК РФ — форма и содержание иска; ст. 56 ГПК РФ — распределение бремени доказывания; ст. 28 ГПК РФ — подсудность по месту нахождения ответчика); (3) пересчитать государственную пошлину по ст. 333.19 НК РФ (для физических лиц) вместо ст. 333.21 НК РФ (для юридических лиц и ИП). Закон РФ «О защите прав потребителей» и Роспотребнадзор к настоящему спору неприменимы: этот закон и ведомство защищают покупателей товара, а не продавцов (поставщиков), реализующих товар через маркетплейс.</w:t>
      </w:r>
    </w:p>
    <w:p>
      <w:pPr>
        <w:spacing w:after="60" w:before="0" w:line="360"/>
        <w:jc w:val="right"/>
      </w:pPr>
      <w:r>
        <w:rPr>
          <w:rFonts w:ascii="Times New Roman" w:cs="Times New Roman" w:eastAsia="Times New Roman" w:hAnsi="Times New Roman"/>
          <w:sz w:val="24"/>
          <w:szCs w:val="24"/>
        </w:rPr>
        <w:t xml:space="preserve">В Арбитражный суд Московской области</w:t>
      </w:r>
    </w:p>
    <w:p>
      <w:pPr>
        <w:spacing w:after="300" w:before="0" w:line="360"/>
        <w:jc w:val="right"/>
      </w:pPr>
      <w:r>
        <w:rPr>
          <w:rFonts w:ascii="Times New Roman" w:cs="Times New Roman" w:eastAsia="Times New Roman" w:hAnsi="Times New Roman"/>
          <w:i/>
          <w:iCs/>
          <w:sz w:val="20"/>
          <w:szCs w:val="20"/>
        </w:rPr>
        <w:t xml:space="preserve">(либо в суд по подсудности, установленной офертой Ответчика, — уточнить точный адрес и наименование суда)</w:t>
      </w:r>
    </w:p>
    <w:p>
      <w:pPr>
        <w:spacing w:after="60" w:line="360"/>
        <w:jc w:val="right"/>
      </w:pPr>
      <w:r>
        <w:rPr>
          <w:rFonts w:ascii="Times New Roman" w:cs="Times New Roman" w:eastAsia="Times New Roman" w:hAnsi="Times New Roman"/>
          <w:b/>
          <w:bCs/>
          <w:sz w:val="24"/>
          <w:szCs w:val="24"/>
        </w:rPr>
        <w:t xml:space="preserve">Истец: </w:t>
      </w:r>
      <w:r>
        <w:rPr>
          <w:rFonts w:ascii="Times New Roman" w:cs="Times New Roman" w:eastAsia="Times New Roman" w:hAnsi="Times New Roman"/>
          <w:sz w:val="24"/>
          <w:szCs w:val="24"/>
        </w:rPr>
        <w:t xml:space="preserve">[ФИО индивидуального предпринимателя / полное наименование юридического лица]</w:t>
      </w:r>
    </w:p>
    <w:p>
      <w:pPr>
        <w:spacing w:after="60" w:line="360"/>
        <w:jc w:val="right"/>
      </w:pPr>
      <w:r>
        <w:rPr>
          <w:rFonts w:ascii="Times New Roman" w:cs="Times New Roman" w:eastAsia="Times New Roman" w:hAnsi="Times New Roman"/>
          <w:sz w:val="24"/>
          <w:szCs w:val="24"/>
        </w:rPr>
        <w:t xml:space="preserve">ОГРНИП/ОГРН: </w:t>
      </w:r>
      <w:r>
        <w:rPr>
          <w:rFonts w:ascii="Times New Roman" w:cs="Times New Roman" w:eastAsia="Times New Roman" w:hAnsi="Times New Roman"/>
          <w:sz w:val="24"/>
          <w:szCs w:val="24"/>
        </w:rPr>
        <w:t xml:space="preserve">[__________]</w:t>
      </w:r>
    </w:p>
    <w:p>
      <w:pPr>
        <w:spacing w:after="60" w:line="360"/>
        <w:jc w:val="right"/>
      </w:pPr>
      <w:r>
        <w:rPr>
          <w:rFonts w:ascii="Times New Roman" w:cs="Times New Roman" w:eastAsia="Times New Roman" w:hAnsi="Times New Roman"/>
          <w:sz w:val="24"/>
          <w:szCs w:val="24"/>
        </w:rPr>
        <w:t xml:space="preserve">ИНН: </w:t>
      </w:r>
      <w:r>
        <w:rPr>
          <w:rFonts w:ascii="Times New Roman" w:cs="Times New Roman" w:eastAsia="Times New Roman" w:hAnsi="Times New Roman"/>
          <w:sz w:val="24"/>
          <w:szCs w:val="24"/>
        </w:rPr>
        <w:t xml:space="preserve">[__________]</w:t>
      </w:r>
    </w:p>
    <w:p>
      <w:pPr>
        <w:spacing w:after="60" w:line="360"/>
        <w:jc w:val="right"/>
      </w:pPr>
      <w:r>
        <w:rPr>
          <w:rFonts w:ascii="Times New Roman" w:cs="Times New Roman" w:eastAsia="Times New Roman" w:hAnsi="Times New Roman"/>
          <w:sz w:val="24"/>
          <w:szCs w:val="24"/>
        </w:rPr>
        <w:t xml:space="preserve">Адрес (место регистрации): </w:t>
      </w:r>
      <w:r>
        <w:rPr>
          <w:rFonts w:ascii="Times New Roman" w:cs="Times New Roman" w:eastAsia="Times New Roman" w:hAnsi="Times New Roman"/>
          <w:sz w:val="24"/>
          <w:szCs w:val="24"/>
        </w:rPr>
        <w:t xml:space="preserve">[__________]</w:t>
      </w:r>
    </w:p>
    <w:p>
      <w:pPr>
        <w:spacing w:after="60" w:line="360"/>
        <w:jc w:val="right"/>
      </w:pPr>
      <w:r>
        <w:rPr>
          <w:rFonts w:ascii="Times New Roman" w:cs="Times New Roman" w:eastAsia="Times New Roman" w:hAnsi="Times New Roman"/>
          <w:sz w:val="24"/>
          <w:szCs w:val="24"/>
        </w:rPr>
        <w:t xml:space="preserve">Телефон: </w:t>
      </w:r>
      <w:r>
        <w:rPr>
          <w:rFonts w:ascii="Times New Roman" w:cs="Times New Roman" w:eastAsia="Times New Roman" w:hAnsi="Times New Roman"/>
          <w:sz w:val="24"/>
          <w:szCs w:val="24"/>
        </w:rPr>
        <w:t xml:space="preserve">[__________]</w:t>
      </w:r>
    </w:p>
    <w:p>
      <w:pPr>
        <w:spacing w:after="300" w:line="360"/>
        <w:jc w:val="right"/>
      </w:pPr>
      <w:r>
        <w:rPr>
          <w:rFonts w:ascii="Times New Roman" w:cs="Times New Roman" w:eastAsia="Times New Roman" w:hAnsi="Times New Roman"/>
          <w:sz w:val="24"/>
          <w:szCs w:val="24"/>
        </w:rPr>
        <w:t xml:space="preserve">E-mail: </w:t>
      </w:r>
      <w:r>
        <w:rPr>
          <w:rFonts w:ascii="Times New Roman" w:cs="Times New Roman" w:eastAsia="Times New Roman" w:hAnsi="Times New Roman"/>
          <w:sz w:val="24"/>
          <w:szCs w:val="24"/>
        </w:rPr>
        <w:t xml:space="preserve">[__________]</w:t>
      </w:r>
    </w:p>
    <w:p>
      <w:pPr>
        <w:spacing w:after="60" w:line="360"/>
        <w:jc w:val="right"/>
      </w:pPr>
      <w:r>
        <w:rPr>
          <w:rFonts w:ascii="Times New Roman" w:cs="Times New Roman" w:eastAsia="Times New Roman" w:hAnsi="Times New Roman"/>
          <w:b/>
          <w:bCs/>
          <w:sz w:val="24"/>
          <w:szCs w:val="24"/>
        </w:rPr>
        <w:t xml:space="preserve">Ответчик: </w:t>
      </w:r>
      <w:r>
        <w:rPr>
          <w:rFonts w:ascii="Times New Roman" w:cs="Times New Roman" w:eastAsia="Times New Roman" w:hAnsi="Times New Roman"/>
          <w:sz w:val="24"/>
          <w:szCs w:val="24"/>
        </w:rPr>
        <w:t xml:space="preserve">Общество с ограниченной ответственностью «РВБ» (ООО «РВБ»)</w:t>
      </w:r>
    </w:p>
    <w:p>
      <w:pPr>
        <w:spacing w:after="60" w:line="360"/>
        <w:jc w:val="right"/>
      </w:pPr>
      <w:r>
        <w:rPr>
          <w:rFonts w:ascii="Times New Roman" w:cs="Times New Roman" w:eastAsia="Times New Roman" w:hAnsi="Times New Roman"/>
          <w:sz w:val="24"/>
          <w:szCs w:val="24"/>
        </w:rPr>
        <w:t xml:space="preserve">ИНН: </w:t>
      </w:r>
      <w:r>
        <w:rPr>
          <w:rFonts w:ascii="Times New Roman" w:cs="Times New Roman" w:eastAsia="Times New Roman" w:hAnsi="Times New Roman"/>
          <w:sz w:val="24"/>
          <w:szCs w:val="24"/>
        </w:rPr>
        <w:t xml:space="preserve">9714053621</w:t>
      </w:r>
    </w:p>
    <w:p>
      <w:pPr>
        <w:spacing w:after="60" w:line="360"/>
        <w:jc w:val="right"/>
      </w:pPr>
      <w:r>
        <w:rPr>
          <w:rFonts w:ascii="Times New Roman" w:cs="Times New Roman" w:eastAsia="Times New Roman" w:hAnsi="Times New Roman"/>
          <w:sz w:val="24"/>
          <w:szCs w:val="24"/>
        </w:rPr>
        <w:t xml:space="preserve">ОГРН: </w:t>
      </w:r>
      <w:r>
        <w:rPr>
          <w:rFonts w:ascii="Times New Roman" w:cs="Times New Roman" w:eastAsia="Times New Roman" w:hAnsi="Times New Roman"/>
          <w:sz w:val="24"/>
          <w:szCs w:val="24"/>
        </w:rPr>
        <w:t xml:space="preserve">1247700471919</w:t>
      </w:r>
    </w:p>
    <w:p>
      <w:pPr>
        <w:spacing w:after="60" w:line="360"/>
        <w:jc w:val="right"/>
      </w:pPr>
      <w:r>
        <w:rPr>
          <w:rFonts w:ascii="Times New Roman" w:cs="Times New Roman" w:eastAsia="Times New Roman" w:hAnsi="Times New Roman"/>
          <w:sz w:val="24"/>
          <w:szCs w:val="24"/>
        </w:rPr>
        <w:t xml:space="preserve">Юридический адрес: </w:t>
      </w:r>
      <w:r>
        <w:rPr>
          <w:rFonts w:ascii="Times New Roman" w:cs="Times New Roman" w:eastAsia="Times New Roman" w:hAnsi="Times New Roman"/>
          <w:sz w:val="24"/>
          <w:szCs w:val="24"/>
        </w:rPr>
        <w:t xml:space="preserve">142181, Московская область, городской округ Подольск, деревня Коледино, территория Индустриальный Парк Коледино, дом 6, строение 1</w:t>
      </w:r>
    </w:p>
    <w:p>
      <w:pPr>
        <w:spacing w:after="300" w:line="360"/>
        <w:jc w:val="right"/>
      </w:pPr>
      <w:r>
        <w:rPr>
          <w:rFonts w:ascii="Times New Roman" w:cs="Times New Roman" w:eastAsia="Times New Roman" w:hAnsi="Times New Roman"/>
          <w:sz w:val="24"/>
          <w:szCs w:val="24"/>
        </w:rPr>
        <w:t xml:space="preserve">Генеральный директор: </w:t>
      </w:r>
      <w:r>
        <w:rPr>
          <w:rFonts w:ascii="Times New Roman" w:cs="Times New Roman" w:eastAsia="Times New Roman" w:hAnsi="Times New Roman"/>
          <w:sz w:val="24"/>
          <w:szCs w:val="24"/>
        </w:rPr>
        <w:t xml:space="preserve">Мирзоян Роберт Георгиевич</w:t>
      </w:r>
    </w:p>
    <w:p>
      <w:pPr>
        <w:spacing w:after="60" w:line="360"/>
        <w:jc w:val="right"/>
      </w:pPr>
      <w:r>
        <w:rPr>
          <w:rFonts w:ascii="Times New Roman" w:cs="Times New Roman" w:eastAsia="Times New Roman" w:hAnsi="Times New Roman"/>
          <w:b/>
          <w:bCs/>
          <w:sz w:val="24"/>
          <w:szCs w:val="24"/>
        </w:rPr>
        <w:t xml:space="preserve">Цена иска: </w:t>
      </w:r>
      <w:r>
        <w:rPr>
          <w:rFonts w:ascii="Times New Roman" w:cs="Times New Roman" w:eastAsia="Times New Roman" w:hAnsi="Times New Roman"/>
          <w:sz w:val="24"/>
          <w:szCs w:val="24"/>
        </w:rPr>
        <w:t xml:space="preserve">[__________] руб.</w:t>
      </w:r>
    </w:p>
    <w:p>
      <w:pPr>
        <w:spacing w:after="400" w:line="360"/>
        <w:jc w:val="right"/>
      </w:pPr>
      <w:r>
        <w:rPr>
          <w:rFonts w:ascii="Times New Roman" w:cs="Times New Roman" w:eastAsia="Times New Roman" w:hAnsi="Times New Roman"/>
          <w:b/>
          <w:bCs/>
          <w:sz w:val="24"/>
          <w:szCs w:val="24"/>
        </w:rPr>
        <w:t xml:space="preserve">Государственная пошлина: </w:t>
      </w:r>
      <w:r>
        <w:rPr>
          <w:rFonts w:ascii="Times New Roman" w:cs="Times New Roman" w:eastAsia="Times New Roman" w:hAnsi="Times New Roman"/>
          <w:sz w:val="24"/>
          <w:szCs w:val="24"/>
        </w:rPr>
        <w:t xml:space="preserve">[__________] руб. (рассчитывается от цены иска по правилам пп. 1 п. 1 ст. 333.21 НК РФ)</w:t>
      </w:r>
    </w:p>
    <w:p>
      <w:pPr>
        <w:spacing w:after="400" w:before="200" w:line="360"/>
        <w:jc w:val="center"/>
      </w:pPr>
      <w:r>
        <w:rPr>
          <w:rFonts w:ascii="Times New Roman" w:cs="Times New Roman" w:eastAsia="Times New Roman" w:hAnsi="Times New Roman"/>
          <w:b/>
          <w:bCs/>
          <w:sz w:val="28"/>
          <w:szCs w:val="28"/>
        </w:rPr>
        <w:t xml:space="preserve">ИСКОВОЕ ЗАЯВЛЕНИЕ</w:t>
      </w:r>
    </w:p>
    <w:p>
      <w:pPr>
        <w:spacing w:after="400" w:line="360"/>
        <w:jc w:val="center"/>
      </w:pPr>
      <w:r>
        <w:rPr>
          <w:rFonts w:ascii="Times New Roman" w:cs="Times New Roman" w:eastAsia="Times New Roman" w:hAnsi="Times New Roman"/>
          <w:b/>
          <w:bCs/>
          <w:sz w:val="24"/>
          <w:szCs w:val="24"/>
        </w:rPr>
        <w:t xml:space="preserve">о взыскании убытков (реального ущерба), причинённых утратой (повреждением) товара, находившегося на хранении у ответчика, вследствие пожара на складе, вызванного атакой БПЛА 18 июля 2026 года</w:t>
      </w:r>
    </w:p>
    <w:p>
      <w:pPr>
        <w:spacing w:after="200" w:before="300" w:line="360"/>
        <w:jc w:val="left"/>
      </w:pPr>
      <w:r>
        <w:rPr>
          <w:rFonts w:ascii="Times New Roman" w:cs="Times New Roman" w:eastAsia="Times New Roman" w:hAnsi="Times New Roman"/>
          <w:b/>
          <w:bCs/>
          <w:sz w:val="26"/>
          <w:szCs w:val="26"/>
        </w:rPr>
        <w:t xml:space="preserve">1. Обстоятельства дела</w:t>
      </w:r>
    </w:p>
    <w:p>
      <w:pPr>
        <w:spacing w:after="200" w:before="0" w:line="360"/>
        <w:ind w:firstLine="400"/>
        <w:jc w:val="left"/>
      </w:pPr>
      <w:r>
        <w:rPr>
          <w:rFonts w:ascii="Times New Roman" w:cs="Times New Roman" w:eastAsia="Times New Roman" w:hAnsi="Times New Roman"/>
          <w:sz w:val="24"/>
          <w:szCs w:val="24"/>
        </w:rPr>
        <w:t xml:space="preserve">Между Истцом и Ответчиком заключён договор на основании публичной оферты ООО «РВБ» об оказании услуг по реализации товаров (далее — «Оферта»), к которой Истец присоединился в порядке ст. 428 ГК РФ путём регистрации личного кабинета продавца на платформе Wildberries.</w:t>
      </w:r>
    </w:p>
    <w:p>
      <w:pPr>
        <w:spacing w:after="200" w:before="0" w:line="360"/>
        <w:ind w:firstLine="400"/>
        <w:jc w:val="left"/>
      </w:pPr>
      <w:r>
        <w:rPr>
          <w:rFonts w:ascii="Times New Roman" w:cs="Times New Roman" w:eastAsia="Times New Roman" w:hAnsi="Times New Roman"/>
          <w:sz w:val="24"/>
          <w:szCs w:val="24"/>
        </w:rPr>
        <w:t xml:space="preserve">В рамках исполнения Оферты Истец передал Ответчику для реализации товар согласно [указать реквизиты поставки: номер поставки, дата, номер и дата УПД/товарной накладной] на общую сумму [сумма закупочной стоимости] руб., что подтверждается [перечень документов: УПД, товарные накладные, приходные документы, счета поставщиков].</w:t>
      </w:r>
    </w:p>
    <w:p>
      <w:pPr>
        <w:spacing w:after="200" w:before="0" w:line="360"/>
        <w:ind w:firstLine="400"/>
        <w:jc w:val="left"/>
      </w:pPr>
      <w:r>
        <w:rPr>
          <w:rFonts w:ascii="Times New Roman" w:cs="Times New Roman" w:eastAsia="Times New Roman" w:hAnsi="Times New Roman"/>
          <w:sz w:val="24"/>
          <w:szCs w:val="24"/>
        </w:rPr>
        <w:t xml:space="preserve">Товар находился на хранении Ответчика на логистическом комплексе, расположенном по адресу: [указать нужное — г. Электросталь, Московская область, либо г. Котовск, Тамбовская область].</w:t>
      </w:r>
    </w:p>
    <w:p>
      <w:pPr>
        <w:spacing w:after="200" w:before="0" w:line="360"/>
        <w:ind w:firstLine="400"/>
        <w:jc w:val="left"/>
      </w:pPr>
      <w:r>
        <w:rPr>
          <w:rFonts w:ascii="Times New Roman" w:cs="Times New Roman" w:eastAsia="Times New Roman" w:hAnsi="Times New Roman"/>
          <w:sz w:val="24"/>
          <w:szCs w:val="24"/>
        </w:rPr>
        <w:t xml:space="preserve">В ночь на 18 июля 2026 года в результате атаки беспилотных летательных аппаратов на указанный логистический комплекс произошёл пожар, в результате которого товар Истца был полностью утрачен (уничтожен) / повреждён, что подтверждается [указать: отчёт Ответчика в личном кабинете продавца от __, акты МЧС России, материалы проверки следственных органов, публичные заявления Ответчика].</w:t>
      </w:r>
    </w:p>
    <w:p>
      <w:pPr>
        <w:spacing w:after="200" w:before="0" w:line="360"/>
        <w:ind w:firstLine="400"/>
        <w:jc w:val="left"/>
      </w:pPr>
      <w:r>
        <w:rPr>
          <w:rFonts w:ascii="Times New Roman" w:cs="Times New Roman" w:eastAsia="Times New Roman" w:hAnsi="Times New Roman"/>
          <w:sz w:val="24"/>
          <w:szCs w:val="24"/>
        </w:rPr>
        <w:t xml:space="preserve">Согласно данным личного кабинета продавца Wildberries, по состоянию на [дата] на складе находился товар Истца в количестве [__] единиц (позиций) на общую сумму [__] руб. по закупочной стоимости.</w:t>
      </w:r>
    </w:p>
    <w:p>
      <w:pPr>
        <w:spacing w:after="200" w:before="0" w:line="360"/>
        <w:ind w:firstLine="400"/>
        <w:jc w:val="left"/>
      </w:pPr>
      <w:r>
        <w:rPr>
          <w:rFonts w:ascii="Times New Roman" w:cs="Times New Roman" w:eastAsia="Times New Roman" w:hAnsi="Times New Roman"/>
          <w:sz w:val="24"/>
          <w:szCs w:val="24"/>
        </w:rPr>
        <w:t xml:space="preserve">Для целей настоящего иска Истцом установлена и документально подтверждена следующая цепочка обстоятельств применительно к конкретной партии товара: номер и дата поставки, номер и дата акта приёмки, артикулы и баркоды утраченных позиций, статус и движение товара (остатки, продажи, возвраты) по данным личного кабинета продавца по состоянию на дату, предшествующую атаке, а также подтверждение того, что именно эти позиции находились на складе, пострадавшем в результате атаки 18.07.2026, а не были перемещены, реализованы или собраны к отгрузке до момента атаки.</w:t>
      </w:r>
    </w:p>
    <w:p>
      <w:pPr>
        <w:spacing w:after="200" w:before="0" w:line="360"/>
        <w:ind w:firstLine="400"/>
        <w:jc w:val="left"/>
      </w:pPr>
      <w:r>
        <w:rPr>
          <w:rFonts w:ascii="Times New Roman" w:cs="Times New Roman" w:eastAsia="Times New Roman" w:hAnsi="Times New Roman"/>
          <w:i/>
          <w:iCs/>
          <w:sz w:val="24"/>
          <w:szCs w:val="24"/>
        </w:rPr>
        <w:t xml:space="preserve">[Дополнить конкретными обстоятельствами дела и приложить подтверждающие документы: акт приёмки и номер поставки, отчёт об остатках по артикулам/баркодам, историю движения товара, уведомления платформы, а также обе редакции Оферты — действующую и действовавшую на дату передачи товара на хранение]</w:t>
      </w:r>
    </w:p>
    <w:p>
      <w:pPr>
        <w:spacing w:after="200" w:before="300" w:line="360"/>
        <w:jc w:val="left"/>
      </w:pPr>
      <w:r>
        <w:rPr>
          <w:rFonts w:ascii="Times New Roman" w:cs="Times New Roman" w:eastAsia="Times New Roman" w:hAnsi="Times New Roman"/>
          <w:b/>
          <w:bCs/>
          <w:sz w:val="26"/>
          <w:szCs w:val="26"/>
        </w:rPr>
        <w:t xml:space="preserve">2. Правовое обоснование требований</w:t>
      </w:r>
    </w:p>
    <w:p>
      <w:pPr>
        <w:spacing w:after="200" w:before="300" w:line="360"/>
        <w:jc w:val="left"/>
      </w:pPr>
      <w:r>
        <w:rPr>
          <w:rFonts w:ascii="Times New Roman" w:cs="Times New Roman" w:eastAsia="Times New Roman" w:hAnsi="Times New Roman"/>
          <w:b/>
          <w:bCs/>
          <w:sz w:val="24"/>
          <w:szCs w:val="24"/>
        </w:rPr>
        <w:t xml:space="preserve">2.1. Обязанность Ответчика обеспечить сохранность товара</w:t>
      </w:r>
    </w:p>
    <w:p>
      <w:pPr>
        <w:spacing w:after="200" w:before="0" w:line="360"/>
        <w:ind w:firstLine="400"/>
        <w:jc w:val="left"/>
      </w:pPr>
      <w:r>
        <w:rPr>
          <w:rFonts w:ascii="Times New Roman" w:cs="Times New Roman" w:eastAsia="Times New Roman" w:hAnsi="Times New Roman"/>
          <w:sz w:val="24"/>
          <w:szCs w:val="24"/>
        </w:rPr>
        <w:t xml:space="preserve">В соответствии со ст. 309, 310 Гражданского кодекса РФ обязательства должны исполняться надлежащим образом в соответствии с условиями обязательства и требованиями закона; односторонний отказ от исполнения обязательства не допускается.</w:t>
      </w:r>
    </w:p>
    <w:p>
      <w:pPr>
        <w:spacing w:after="200" w:before="0" w:line="360"/>
        <w:ind w:firstLine="400"/>
        <w:jc w:val="left"/>
      </w:pPr>
      <w:r>
        <w:rPr>
          <w:rFonts w:ascii="Times New Roman" w:cs="Times New Roman" w:eastAsia="Times New Roman" w:hAnsi="Times New Roman"/>
          <w:sz w:val="24"/>
          <w:szCs w:val="24"/>
        </w:rPr>
        <w:t xml:space="preserve">Отношения между продавцом и Wildberries по существу являются посредническими (комиссионными) и включают элементы хранения переданного на реализацию товара. В силу п. 1 ст. 998, ст. 1001 ГК РФ, а также правовой позиции, изложенной в п. 14 Информационного письма Президиума ВАС РФ от 17.11.2004 № 85, комиссионер отвечает перед комитентом за утрату, недостачу или повреждение находящегося у него имущества комитента.</w:t>
      </w:r>
    </w:p>
    <w:p>
      <w:pPr>
        <w:spacing w:after="200" w:before="0" w:line="360"/>
        <w:ind w:firstLine="400"/>
        <w:jc w:val="left"/>
      </w:pPr>
      <w:r>
        <w:rPr>
          <w:rFonts w:ascii="Times New Roman" w:cs="Times New Roman" w:eastAsia="Times New Roman" w:hAnsi="Times New Roman"/>
          <w:sz w:val="24"/>
          <w:szCs w:val="24"/>
        </w:rPr>
        <w:t xml:space="preserve">Согласно ст. 901 ГК РФ профессиональный хранитель отвечает за утрату, недостачу или повреждение вещей, если не докажет, что это произошло вследствие непреодолимой силы, либо из-за свойств вещи, о которых хранитель не знал и не должен был знать, либо в результате умысла или грубой неосторожности поклажедателя. Ответчик является профессиональным участником рынка электронной торговли и логистики, оказывающим услуги хранения на возмездной основе, что возлагает на него повышенный (объективный) стандарт ответственности.</w:t>
      </w:r>
    </w:p>
    <w:p>
      <w:pPr>
        <w:spacing w:after="200" w:before="300" w:line="360"/>
        <w:jc w:val="left"/>
      </w:pPr>
      <w:r>
        <w:rPr>
          <w:rFonts w:ascii="Times New Roman" w:cs="Times New Roman" w:eastAsia="Times New Roman" w:hAnsi="Times New Roman"/>
          <w:b/>
          <w:bCs/>
          <w:sz w:val="24"/>
          <w:szCs w:val="24"/>
        </w:rPr>
        <w:t xml:space="preserve">2.2. Отсутствие оснований для освобождения Ответчика от ответственности</w:t>
      </w:r>
    </w:p>
    <w:p>
      <w:pPr>
        <w:spacing w:after="200" w:before="0" w:line="360"/>
        <w:ind w:firstLine="400"/>
        <w:jc w:val="left"/>
      </w:pPr>
      <w:r>
        <w:rPr>
          <w:rFonts w:ascii="Times New Roman" w:cs="Times New Roman" w:eastAsia="Times New Roman" w:hAnsi="Times New Roman"/>
          <w:sz w:val="24"/>
          <w:szCs w:val="24"/>
        </w:rPr>
        <w:t xml:space="preserve">Пунктом 11.3.4.1 (подпункт 6) Оферты (в редакции, действующей с 07.07.2026) Ответчик указал, что освобождается от ответственности за неисполнение обязанностей, если такое неисполнение вызвано обстоятельствами непреодолимой силы, к которым относит, в частности, последствия применения, воздействия, падения, запуска или срабатывания вооружений, летательных аппаратов (включая БПЛА), обстрелов и взрывов.</w:t>
      </w:r>
    </w:p>
    <w:p>
      <w:pPr>
        <w:spacing w:after="200" w:before="0" w:line="360"/>
        <w:ind w:firstLine="400"/>
        <w:jc w:val="left"/>
      </w:pPr>
      <w:r>
        <w:rPr>
          <w:rFonts w:ascii="Times New Roman" w:cs="Times New Roman" w:eastAsia="Times New Roman" w:hAnsi="Times New Roman"/>
          <w:sz w:val="24"/>
          <w:szCs w:val="24"/>
        </w:rPr>
        <w:t xml:space="preserve">Истец полагает, что данное условие Оферты не подлежит применению к рассматриваемым правоотношениям по следующим основаниям.</w:t>
      </w:r>
    </w:p>
    <w:p>
      <w:pPr>
        <w:spacing w:after="200" w:before="0" w:line="360"/>
        <w:ind w:firstLine="400"/>
        <w:jc w:val="left"/>
      </w:pPr>
      <w:r>
        <w:rPr>
          <w:rFonts w:ascii="Times New Roman" w:cs="Times New Roman" w:eastAsia="Times New Roman" w:hAnsi="Times New Roman"/>
          <w:sz w:val="24"/>
          <w:szCs w:val="24"/>
        </w:rPr>
        <w:t xml:space="preserve">Во-первых, отнесение обстоятельства к непреодолимой силе носит не договорный, а оценочный характер и определяется исключительно судом на основании п. 3 ст. 401 ГК РФ. Простое перечисление события в тексте договора не создаёт презумпции существования непреодолимой силы и не освобождает Ответчика от обязанности доказать чрезвычайность и непредотвратимость конкретного обстоятельства применительно к конкретному обязательству. Данная позиция следует из разъяснений п. 8 Постановления Пленума Верховного Суда РФ от 24.03.2016 № 7 «О применении судами некоторых положений Гражданского кодекса Российской Федерации об ответственности за нарушение обязательств», а также из п. 8–10 Постановления Пленума Верховного Суда РФ от 23.06.2015 № 25 «О применении судами некоторых положений раздела I части первой Гражданского кодекса Российской Федерации», согласно которым обстоятельство признаётся непреодолимой силой при одновременном наличии чрезвычайности и непредотвратимости, при этом бремя доказывания указанных обстоятельств лежит на стороне, ссылающейся на них (п. 5 Постановления Пленума № 7).</w:t>
      </w:r>
    </w:p>
    <w:p>
      <w:pPr>
        <w:spacing w:after="200" w:before="0" w:line="360"/>
        <w:ind w:firstLine="400"/>
        <w:jc w:val="left"/>
      </w:pPr>
      <w:r>
        <w:rPr>
          <w:rFonts w:ascii="Times New Roman" w:cs="Times New Roman" w:eastAsia="Times New Roman" w:hAnsi="Times New Roman"/>
          <w:sz w:val="24"/>
          <w:szCs w:val="24"/>
        </w:rPr>
        <w:t xml:space="preserve">Во-вторых, вопрос об отнесении атак БПЛА к обстоятельствам непреодолимой силы носит индивидуально-оценочный характер и разрешается судом отдельно по каждому обязательству с учётом конкретных обстоятельств дела, а не в силу общего указания в договоре. [При наличии — указать: отказ ТПП РФ / региональной ТПП в выдаче сертификата о форс-мажоре либо факт отсутствия обращения Ответчика за таким сертификатом].</w:t>
      </w:r>
    </w:p>
    <w:p>
      <w:pPr>
        <w:spacing w:after="200" w:before="0" w:line="360"/>
        <w:ind w:firstLine="400"/>
        <w:jc w:val="left"/>
      </w:pPr>
      <w:r>
        <w:rPr>
          <w:rFonts w:ascii="Times New Roman" w:cs="Times New Roman" w:eastAsia="Times New Roman" w:hAnsi="Times New Roman"/>
          <w:sz w:val="24"/>
          <w:szCs w:val="24"/>
        </w:rPr>
        <w:t xml:space="preserve">В-третьих, включённое Ответчиком условие является условием договора присоединения (ст. 428 ГК РФ), к которому Истец присоединился путём принятия Оферты без возможности вести переговоры об изменении её условий. Указанное условие явно обременительно для Истца и нарушает баланс интересов сторон, поскольку в одностороннем порядке и без предварительного уведомления перекладывает на слабую сторону договора (продавца) риск утраты имущества, находящегося под исключительным физическим контролем и в зоне ответственности Ответчика, лишая Истца прав, обычно предоставляемых по договорам такого вида. На основании п. 2, 3 ст. 428 ГК РФ Истец заявляет о неприменении указанного условия Оферты как явно обременительного.</w:t>
      </w:r>
    </w:p>
    <w:p>
      <w:pPr>
        <w:spacing w:after="200" w:before="0" w:line="360"/>
        <w:ind w:firstLine="400"/>
        <w:jc w:val="left"/>
      </w:pPr>
      <w:r>
        <w:rPr>
          <w:rFonts w:ascii="Times New Roman" w:cs="Times New Roman" w:eastAsia="Times New Roman" w:hAnsi="Times New Roman"/>
          <w:sz w:val="24"/>
          <w:szCs w:val="24"/>
        </w:rPr>
        <w:t xml:space="preserve">В-четвёртых, редакция Оферты, содержащая указанное условие, была введена Ответчиком 07.07.2026, то есть за считанные дни до наступления страхового случая 18.07.2026, что ставит под сомнение добросовестность и разумность действий Ответчика при изменении условий договора (ст. 1, 10 ГК РФ).</w:t>
      </w:r>
    </w:p>
    <w:p>
      <w:pPr>
        <w:spacing w:after="200" w:before="0" w:line="360"/>
        <w:ind w:firstLine="400"/>
        <w:jc w:val="left"/>
      </w:pPr>
      <w:r>
        <w:rPr>
          <w:rFonts w:ascii="Times New Roman" w:cs="Times New Roman" w:eastAsia="Times New Roman" w:hAnsi="Times New Roman"/>
          <w:sz w:val="24"/>
          <w:szCs w:val="24"/>
        </w:rPr>
        <w:t xml:space="preserve">В-пятых, для освобождения от ответственности Ответчику необходимо доказать не только наличие и продолжительность обстоятельства непреодолимой силы и причинно-следственную связь между ним и невозможностью исполнения обязательства, но также свою непричастность к возникновению данного обстоятельства и добросовестное принятие разумных мер по предотвращению и минимизации ущерба (п. 8–10 Постановления Пленума Верховного Суда РФ от 24.03.2016 № 7; п. 5 Постановления Пленума Верховного Суда РФ от 23.06.2015 № 25). Истец заявляет, что Ответчик не принял таких мер, в частности: не осуществил рассредоточение (диверсификацию) товарных остатков между несколькими логистическими комплексами при известном общем уровне риска атак беспилотных летательных аппаратов на объекты на территории Российской Федерации; согласно открытым данным, действующий договор добровольного страхования Ответчика с ПАО «Сбербанк Страхование» не покрывает риски, связанные с атаками БПЛА, что свидетельствует об отсутствии у Ответчика адекватных мер финансовой защиты товаров поклажедателей от данного известного риска; не представил доказательств принятия мер по локализации пожара и защите обособленных зон хранения. Истец ходатайствует об истребовании судом у Ответчика (ст. 66 АПК РФ) документов, подтверждающих принятые Ответчиком превентивные меры, результаты инвентаризации по конкретной партии товара Истца и основания списания утраченного товара.</w:t>
      </w:r>
    </w:p>
    <w:p>
      <w:pPr>
        <w:spacing w:after="200" w:before="300" w:line="360"/>
        <w:jc w:val="left"/>
      </w:pPr>
      <w:r>
        <w:rPr>
          <w:rFonts w:ascii="Times New Roman" w:cs="Times New Roman" w:eastAsia="Times New Roman" w:hAnsi="Times New Roman"/>
          <w:b/>
          <w:bCs/>
          <w:sz w:val="24"/>
          <w:szCs w:val="24"/>
        </w:rPr>
        <w:t xml:space="preserve">2.3. Право Истца на возмещение убытков в полном объёме</w:t>
      </w:r>
    </w:p>
    <w:p>
      <w:pPr>
        <w:spacing w:after="200" w:before="0" w:line="360"/>
        <w:ind w:firstLine="400"/>
        <w:jc w:val="left"/>
      </w:pPr>
      <w:r>
        <w:rPr>
          <w:rFonts w:ascii="Times New Roman" w:cs="Times New Roman" w:eastAsia="Times New Roman" w:hAnsi="Times New Roman"/>
          <w:sz w:val="24"/>
          <w:szCs w:val="24"/>
        </w:rPr>
        <w:t xml:space="preserve">В соответствии со ст. 15, 393 ГК РФ лицо, право которого нарушено, может требовать полного возмещения причинённых ему убытков, если законом или договором не предусмотрено возмещение убытков в меньшем размере. Под убытками понимаются расходы, которые лицо произвело или должно будет произвести для восстановления нарушенного права (реальный ущерб).</w:t>
      </w:r>
    </w:p>
    <w:p>
      <w:pPr>
        <w:spacing w:after="200" w:before="0" w:line="360"/>
        <w:ind w:firstLine="400"/>
        <w:jc w:val="left"/>
      </w:pPr>
      <w:r>
        <w:rPr>
          <w:rFonts w:ascii="Times New Roman" w:cs="Times New Roman" w:eastAsia="Times New Roman" w:hAnsi="Times New Roman"/>
          <w:sz w:val="24"/>
          <w:szCs w:val="24"/>
        </w:rPr>
        <w:t xml:space="preserve">Согласно правовой позиции, изложенной в постановлении Арбитражного суда Московского округа от 14.11.2022 № Ф05-27351/2022 по делу № А41-77285/2021, а также в судебной практике по аналогичным спорам, возникшим в связи с пожаром на складе Wildberries в Шушарах (дела № А41-29262/2024, № А41-33959/2024, № А41-16635/2024, № А41-21640/2024, № А41-30241/2024), суды приходят к выводу о том, что вознаграждение маркетплейса, предоставленные скидки, расходы на логистику и хранение не подлежат учёту при определении подлежащей возмещению стоимости утраченного товара, а ограничение размера компенсации нарушает право истца на полное возмещение убытков.</w:t>
      </w:r>
    </w:p>
    <w:p>
      <w:pPr>
        <w:spacing w:after="200" w:before="0" w:line="360"/>
        <w:ind w:firstLine="400"/>
        <w:jc w:val="left"/>
      </w:pPr>
      <w:r>
        <w:rPr>
          <w:rFonts w:ascii="Times New Roman" w:cs="Times New Roman" w:eastAsia="Times New Roman" w:hAnsi="Times New Roman"/>
          <w:sz w:val="24"/>
          <w:szCs w:val="24"/>
        </w:rPr>
        <w:t xml:space="preserve">Даже при самом ограничительном толковании обязательств Ответчика, минимальный размер подлежащих возмещению убытков составляет документально подтверждённую себестоимость (закупочную стоимость) утраченного товара, поскольку обязанность Ответчика обеспечить физическую сохранность переданного ему имущества не может быть поставлена в зависимость от условий, определяющих порядок распределения выручки от последующей продажи.</w:t>
      </w:r>
    </w:p>
    <w:p>
      <w:pPr>
        <w:spacing w:after="200" w:before="0" w:line="360"/>
        <w:ind w:firstLine="400"/>
        <w:jc w:val="left"/>
      </w:pPr>
      <w:r>
        <w:rPr>
          <w:rFonts w:ascii="Times New Roman" w:cs="Times New Roman" w:eastAsia="Times New Roman" w:hAnsi="Times New Roman"/>
          <w:sz w:val="24"/>
          <w:szCs w:val="24"/>
        </w:rPr>
        <w:t xml:space="preserve">Пунктом 5 Постановления Пленума Верховного Суда РФ от 24.03.2016 № 7 предусмотрено, что если размер причинённых убытков невозможно установить с разумной степенью достоверности, суд не может отказать в удовлетворении требования о взыскании убытков, а определяет их размер с учётом всех обстоятельств дела, исходя из принципов справедливости и соразмерности ответственности допущенному нарушению обязательства.</w:t>
      </w:r>
    </w:p>
    <w:p>
      <w:pPr>
        <w:spacing w:after="200" w:before="300" w:line="360"/>
        <w:jc w:val="left"/>
      </w:pPr>
      <w:r>
        <w:rPr>
          <w:rFonts w:ascii="Times New Roman" w:cs="Times New Roman" w:eastAsia="Times New Roman" w:hAnsi="Times New Roman"/>
          <w:b/>
          <w:bCs/>
          <w:sz w:val="24"/>
          <w:szCs w:val="24"/>
        </w:rPr>
        <w:t xml:space="preserve">2.4. Конституционно-правовое обоснование</w:t>
      </w:r>
    </w:p>
    <w:p>
      <w:pPr>
        <w:spacing w:after="200" w:before="0" w:line="360"/>
        <w:ind w:firstLine="400"/>
        <w:jc w:val="left"/>
      </w:pPr>
      <w:r>
        <w:rPr>
          <w:rFonts w:ascii="Times New Roman" w:cs="Times New Roman" w:eastAsia="Times New Roman" w:hAnsi="Times New Roman"/>
          <w:sz w:val="24"/>
          <w:szCs w:val="24"/>
        </w:rPr>
        <w:t xml:space="preserve">Согласно ч. 1 ст. 8, ч. 1 ст. 34 Конституции Российской Федерации в Российской Федерации гарантируется свобода экономической деятельности, каждый имеет право на свободное использование своих способностей и имущества для предпринимательской деятельности.</w:t>
      </w:r>
    </w:p>
    <w:p>
      <w:pPr>
        <w:spacing w:after="200" w:before="0" w:line="360"/>
        <w:ind w:firstLine="400"/>
        <w:jc w:val="left"/>
      </w:pPr>
      <w:r>
        <w:rPr>
          <w:rFonts w:ascii="Times New Roman" w:cs="Times New Roman" w:eastAsia="Times New Roman" w:hAnsi="Times New Roman"/>
          <w:sz w:val="24"/>
          <w:szCs w:val="24"/>
        </w:rPr>
        <w:t xml:space="preserve">В силу ч. 1, 3 ст. 35 Конституции Российской Федерации право частной собственности охраняется законом; никто не может быть лишён своего имущества иначе как по решению суда.</w:t>
      </w:r>
    </w:p>
    <w:p>
      <w:pPr>
        <w:spacing w:after="200" w:before="0" w:line="360"/>
        <w:ind w:firstLine="400"/>
        <w:jc w:val="left"/>
      </w:pPr>
      <w:r>
        <w:rPr>
          <w:rFonts w:ascii="Times New Roman" w:cs="Times New Roman" w:eastAsia="Times New Roman" w:hAnsi="Times New Roman"/>
          <w:sz w:val="24"/>
          <w:szCs w:val="24"/>
        </w:rPr>
        <w:t xml:space="preserve">Согласно ч. 1 ст. 46 Конституции Российской Федерации каждому гарантируется судебная защита его прав и свобод.</w:t>
      </w:r>
    </w:p>
    <w:p>
      <w:pPr>
        <w:spacing w:after="200" w:before="0" w:line="360"/>
        <w:ind w:firstLine="400"/>
        <w:jc w:val="left"/>
      </w:pPr>
      <w:r>
        <w:rPr>
          <w:rFonts w:ascii="Times New Roman" w:cs="Times New Roman" w:eastAsia="Times New Roman" w:hAnsi="Times New Roman"/>
          <w:sz w:val="24"/>
          <w:szCs w:val="24"/>
        </w:rPr>
        <w:t xml:space="preserve">Односторонний отказ Ответчика от исполнения обязанности по возмещению стоимости утраченного имущества Истца, установленный посредством изменения типовых условий договора, не может ограничивать конституционные гарантии судебной защиты права собственности Истца и препятствовать взысканию причинённых убытков в судебном порядке.</w:t>
      </w:r>
    </w:p>
    <w:p>
      <w:pPr>
        <w:spacing w:after="200" w:before="300" w:line="360"/>
        <w:jc w:val="left"/>
      </w:pPr>
      <w:r>
        <w:rPr>
          <w:rFonts w:ascii="Times New Roman" w:cs="Times New Roman" w:eastAsia="Times New Roman" w:hAnsi="Times New Roman"/>
          <w:b/>
          <w:bCs/>
          <w:sz w:val="24"/>
          <w:szCs w:val="24"/>
        </w:rPr>
        <w:t xml:space="preserve">2.5. Применение редакции Оферты, действовавшей на момент передачи товара на хранение</w:t>
      </w:r>
    </w:p>
    <w:p>
      <w:pPr>
        <w:spacing w:after="200" w:before="0" w:line="360"/>
        <w:ind w:firstLine="400"/>
        <w:jc w:val="left"/>
      </w:pPr>
      <w:r>
        <w:rPr>
          <w:rFonts w:ascii="Times New Roman" w:cs="Times New Roman" w:eastAsia="Times New Roman" w:hAnsi="Times New Roman"/>
          <w:sz w:val="24"/>
          <w:szCs w:val="24"/>
        </w:rPr>
        <w:t xml:space="preserve">К каждой конкретной поставке товара применяется редакция Оферты, действовавшая на момент фактической передачи товара Ответчику для реализации и хранения, а не редакция, действующая на момент наступления страхового случая. Данная позиция подтверждается разъяснениями профильных юристов в связи с рассматриваемой ситуацией (в частности, партнёра a.t.Legal А. Торянникова).</w:t>
      </w:r>
    </w:p>
    <w:p>
      <w:pPr>
        <w:spacing w:after="200" w:before="0" w:line="360"/>
        <w:ind w:firstLine="400"/>
        <w:jc w:val="left"/>
      </w:pPr>
      <w:r>
        <w:rPr>
          <w:rFonts w:ascii="Times New Roman" w:cs="Times New Roman" w:eastAsia="Times New Roman" w:hAnsi="Times New Roman"/>
          <w:sz w:val="24"/>
          <w:szCs w:val="24"/>
        </w:rPr>
        <w:t xml:space="preserve">Редакция Оферты № 98, содержащая п. 11.3.4.1 (подпункт 6), относящий последствия атак БПЛА к обстоятельствам непреодолимой силы, введена Ответчиком 07.07.2026; предыдущая редакция действовала с 18.06.2026 и не содержала указанного основания для освобождения от ответственности.</w:t>
      </w:r>
    </w:p>
    <w:p>
      <w:pPr>
        <w:spacing w:after="200" w:before="0" w:line="360"/>
        <w:ind w:firstLine="400"/>
        <w:jc w:val="left"/>
      </w:pPr>
      <w:r>
        <w:rPr>
          <w:rFonts w:ascii="Times New Roman" w:cs="Times New Roman" w:eastAsia="Times New Roman" w:hAnsi="Times New Roman"/>
          <w:sz w:val="24"/>
          <w:szCs w:val="24"/>
        </w:rPr>
        <w:t xml:space="preserve">Если товар Истца был передан Ответчику на хранение до 07.07.2026, применению подлежит редакция Оферты, действовавшая на дату передачи товара, которая не относила атаки БПЛА к форс-мажорным обстоятельствам, что исключает для Ответчика возможность ссылаться на п. 11.3.4.1 (подпункт 6) редакции № 98 как на основание освобождения от ответственности. [Истцу необходимо установить точную дату приёмки своей партии товара на склад Ответчика и приложить обе редакции Оферты — действующую и действовавшую на эту дату, — архив которых доступен в личном кабинете партнёра портала WB Partners в разделе «Документы»/«Оферты».]</w:t>
      </w:r>
    </w:p>
    <w:p>
      <w:pPr>
        <w:spacing w:after="200" w:before="300" w:line="360"/>
        <w:jc w:val="left"/>
      </w:pPr>
      <w:r>
        <w:rPr>
          <w:rFonts w:ascii="Times New Roman" w:cs="Times New Roman" w:eastAsia="Times New Roman" w:hAnsi="Times New Roman"/>
          <w:b/>
          <w:bCs/>
          <w:sz w:val="26"/>
          <w:szCs w:val="26"/>
        </w:rPr>
        <w:t xml:space="preserve">3. Досудебный порядок урегулирования спора</w:t>
      </w:r>
    </w:p>
    <w:p>
      <w:pPr>
        <w:spacing w:after="200" w:before="0" w:line="360"/>
        <w:ind w:firstLine="400"/>
        <w:jc w:val="left"/>
      </w:pPr>
      <w:r>
        <w:rPr>
          <w:rFonts w:ascii="Times New Roman" w:cs="Times New Roman" w:eastAsia="Times New Roman" w:hAnsi="Times New Roman"/>
          <w:sz w:val="24"/>
          <w:szCs w:val="24"/>
        </w:rPr>
        <w:t xml:space="preserve">В соответствии с ч. 5 ст. 4 Арбитражного процессуального кодекса РФ и условиями Оферты Истцом в адрес Ответчика направлена претензия от [дата] № [__] с требованием о возмещении убытков в размере [сумма] руб.</w:t>
      </w:r>
    </w:p>
    <w:p>
      <w:pPr>
        <w:spacing w:after="200" w:before="0" w:line="360"/>
        <w:ind w:firstLine="400"/>
        <w:jc w:val="left"/>
      </w:pPr>
      <w:r>
        <w:rPr>
          <w:rFonts w:ascii="Times New Roman" w:cs="Times New Roman" w:eastAsia="Times New Roman" w:hAnsi="Times New Roman"/>
          <w:i/>
          <w:iCs/>
          <w:sz w:val="24"/>
          <w:szCs w:val="24"/>
        </w:rPr>
        <w:t xml:space="preserve">[Указать один из вариантов: ответ на претензию не получен по истечении установленного срока / Ответчик отказал в удовлетворении претензии письмом от __ № __ / Ответчик частично удовлетворил претензию, выплатив [сумма] руб., что не покрывает документально подтверждённую себестоимость товара]</w:t>
      </w:r>
    </w:p>
    <w:p>
      <w:pPr>
        <w:spacing w:after="200" w:before="300" w:line="360"/>
        <w:jc w:val="left"/>
      </w:pPr>
      <w:r>
        <w:rPr>
          <w:rFonts w:ascii="Times New Roman" w:cs="Times New Roman" w:eastAsia="Times New Roman" w:hAnsi="Times New Roman"/>
          <w:b/>
          <w:bCs/>
          <w:sz w:val="26"/>
          <w:szCs w:val="26"/>
        </w:rPr>
        <w:t xml:space="preserve">4. Расчёт суммы исковых требований</w:t>
      </w: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100"/>
        <w:gridCol w:w="100"/>
        <w:gridCol w:w="100"/>
        <w:gridCol w:w="100"/>
        <w:gridCol w:w="100"/>
      </w:tblGrid>
      <w:tr>
        <w:tc>
          <w:tcPr>
            <w:tcW w:type="pct" w:w="5%"/>
            <w:tcBorders>
              <w:top w:val="single" w:color="999999" w:sz="4"/>
              <w:left w:val="single" w:color="999999" w:sz="4"/>
              <w:bottom w:val="single" w:color="999999" w:sz="4"/>
              <w:right w:val="single" w:color="999999" w:sz="4"/>
            </w:tcBorders>
            <w:shd w:fill="E8E8E8" w:color="E8E8E8" w:val="solid"/>
          </w:tcPr>
          <w:p>
            <w:pPr>
              <w:jc w:val="center"/>
            </w:pPr>
            <w:r>
              <w:rPr>
                <w:rFonts w:ascii="Times New Roman" w:cs="Times New Roman" w:eastAsia="Times New Roman" w:hAnsi="Times New Roman"/>
                <w:b/>
                <w:bCs/>
                <w:sz w:val="20"/>
                <w:szCs w:val="20"/>
              </w:rPr>
              <w:t xml:space="preserve">№</w:t>
            </w:r>
          </w:p>
        </w:tc>
        <w:tc>
          <w:tcPr>
            <w:tcW w:type="pct" w:w="40%"/>
            <w:tcBorders>
              <w:top w:val="single" w:color="999999" w:sz="4"/>
              <w:left w:val="single" w:color="999999" w:sz="4"/>
              <w:bottom w:val="single" w:color="999999" w:sz="4"/>
              <w:right w:val="single" w:color="999999" w:sz="4"/>
            </w:tcBorders>
            <w:shd w:fill="E8E8E8" w:color="E8E8E8" w:val="solid"/>
          </w:tcPr>
          <w:p>
            <w:pPr>
              <w:jc w:val="center"/>
            </w:pPr>
            <w:r>
              <w:rPr>
                <w:rFonts w:ascii="Times New Roman" w:cs="Times New Roman" w:eastAsia="Times New Roman" w:hAnsi="Times New Roman"/>
                <w:b/>
                <w:bCs/>
                <w:sz w:val="20"/>
                <w:szCs w:val="20"/>
              </w:rPr>
              <w:t xml:space="preserve">Наименование товара / артикул (баркод)</w:t>
            </w:r>
          </w:p>
        </w:tc>
        <w:tc>
          <w:tcPr>
            <w:tcW w:type="pct" w:w="12%"/>
            <w:tcBorders>
              <w:top w:val="single" w:color="999999" w:sz="4"/>
              <w:left w:val="single" w:color="999999" w:sz="4"/>
              <w:bottom w:val="single" w:color="999999" w:sz="4"/>
              <w:right w:val="single" w:color="999999" w:sz="4"/>
            </w:tcBorders>
            <w:shd w:fill="E8E8E8" w:color="E8E8E8" w:val="solid"/>
          </w:tcPr>
          <w:p>
            <w:pPr>
              <w:jc w:val="center"/>
            </w:pPr>
            <w:r>
              <w:rPr>
                <w:rFonts w:ascii="Times New Roman" w:cs="Times New Roman" w:eastAsia="Times New Roman" w:hAnsi="Times New Roman"/>
                <w:b/>
                <w:bCs/>
                <w:sz w:val="20"/>
                <w:szCs w:val="20"/>
              </w:rPr>
              <w:t xml:space="preserve">Кол-во, шт.</w:t>
            </w:r>
          </w:p>
        </w:tc>
        <w:tc>
          <w:tcPr>
            <w:tcW w:type="pct" w:w="18%"/>
            <w:tcBorders>
              <w:top w:val="single" w:color="999999" w:sz="4"/>
              <w:left w:val="single" w:color="999999" w:sz="4"/>
              <w:bottom w:val="single" w:color="999999" w:sz="4"/>
              <w:right w:val="single" w:color="999999" w:sz="4"/>
            </w:tcBorders>
            <w:shd w:fill="E8E8E8" w:color="E8E8E8" w:val="solid"/>
          </w:tcPr>
          <w:p>
            <w:pPr>
              <w:jc w:val="center"/>
            </w:pPr>
            <w:r>
              <w:rPr>
                <w:rFonts w:ascii="Times New Roman" w:cs="Times New Roman" w:eastAsia="Times New Roman" w:hAnsi="Times New Roman"/>
                <w:b/>
                <w:bCs/>
                <w:sz w:val="20"/>
                <w:szCs w:val="20"/>
              </w:rPr>
              <w:t xml:space="preserve">Себестоимость за ед., руб.</w:t>
            </w:r>
          </w:p>
        </w:tc>
        <w:tc>
          <w:tcPr>
            <w:tcW w:type="pct" w:w="25%"/>
            <w:tcBorders>
              <w:top w:val="single" w:color="999999" w:sz="4"/>
              <w:left w:val="single" w:color="999999" w:sz="4"/>
              <w:bottom w:val="single" w:color="999999" w:sz="4"/>
              <w:right w:val="single" w:color="999999" w:sz="4"/>
            </w:tcBorders>
            <w:shd w:fill="E8E8E8" w:color="E8E8E8" w:val="solid"/>
          </w:tcPr>
          <w:p>
            <w:pPr>
              <w:jc w:val="center"/>
            </w:pPr>
            <w:r>
              <w:rPr>
                <w:rFonts w:ascii="Times New Roman" w:cs="Times New Roman" w:eastAsia="Times New Roman" w:hAnsi="Times New Roman"/>
                <w:b/>
                <w:bCs/>
                <w:sz w:val="20"/>
                <w:szCs w:val="20"/>
              </w:rPr>
              <w:t xml:space="preserve">Сумма, руб.</w:t>
            </w:r>
          </w:p>
        </w:tc>
      </w:tr>
      <w:tr>
        <w:tc>
          <w:tcPr>
            <w:tcW w:type="pct" w:w="5%"/>
            <w:tcBorders>
              <w:top w:val="single" w:color="999999" w:sz="4"/>
              <w:left w:val="single" w:color="999999" w:sz="4"/>
              <w:bottom w:val="single" w:color="999999" w:sz="4"/>
              <w:right w:val="single" w:color="999999" w:sz="4"/>
            </w:tcBorders>
          </w:tcPr>
          <w:p>
            <w:pPr>
              <w:jc w:val="center"/>
            </w:pPr>
            <w:r>
              <w:rPr>
                <w:rFonts w:ascii="Times New Roman" w:cs="Times New Roman" w:eastAsia="Times New Roman" w:hAnsi="Times New Roman"/>
                <w:sz w:val="20"/>
                <w:szCs w:val="20"/>
              </w:rPr>
              <w:t xml:space="preserve">1</w:t>
            </w:r>
          </w:p>
        </w:tc>
        <w:tc>
          <w:tcPr>
            <w:tcW w:type="pct" w:w="40%"/>
            <w:tcBorders>
              <w:top w:val="single" w:color="999999" w:sz="4"/>
              <w:left w:val="single" w:color="999999" w:sz="4"/>
              <w:bottom w:val="single" w:color="999999" w:sz="4"/>
              <w:right w:val="single" w:color="999999" w:sz="4"/>
            </w:tcBorders>
          </w:tcPr>
          <w:p>
            <w:pPr>
              <w:jc w:val="left"/>
            </w:pPr>
            <w:r>
              <w:rPr>
                <w:rFonts w:ascii="Times New Roman" w:cs="Times New Roman" w:eastAsia="Times New Roman" w:hAnsi="Times New Roman"/>
                <w:sz w:val="20"/>
                <w:szCs w:val="20"/>
              </w:rPr>
              <w:t xml:space="preserve">[__________]</w:t>
            </w:r>
          </w:p>
        </w:tc>
        <w:tc>
          <w:tcPr>
            <w:tcW w:type="pct" w:w="12%"/>
            <w:tcBorders>
              <w:top w:val="single" w:color="999999" w:sz="4"/>
              <w:left w:val="single" w:color="999999" w:sz="4"/>
              <w:bottom w:val="single" w:color="999999" w:sz="4"/>
              <w:right w:val="single" w:color="999999" w:sz="4"/>
            </w:tcBorders>
          </w:tcPr>
          <w:p>
            <w:pPr>
              <w:jc w:val="center"/>
            </w:pPr>
            <w:r>
              <w:rPr>
                <w:rFonts w:ascii="Times New Roman" w:cs="Times New Roman" w:eastAsia="Times New Roman" w:hAnsi="Times New Roman"/>
                <w:sz w:val="20"/>
                <w:szCs w:val="20"/>
              </w:rPr>
              <w:t xml:space="preserve">[__]</w:t>
            </w:r>
          </w:p>
        </w:tc>
        <w:tc>
          <w:tcPr>
            <w:tcW w:type="pct" w:w="18%"/>
            <w:tcBorders>
              <w:top w:val="single" w:color="999999" w:sz="4"/>
              <w:left w:val="single" w:color="999999" w:sz="4"/>
              <w:bottom w:val="single" w:color="999999" w:sz="4"/>
              <w:right w:val="single" w:color="999999" w:sz="4"/>
            </w:tcBorders>
          </w:tcPr>
          <w:p>
            <w:pPr>
              <w:jc w:val="center"/>
            </w:pPr>
            <w:r>
              <w:rPr>
                <w:rFonts w:ascii="Times New Roman" w:cs="Times New Roman" w:eastAsia="Times New Roman" w:hAnsi="Times New Roman"/>
                <w:sz w:val="20"/>
                <w:szCs w:val="20"/>
              </w:rPr>
              <w:t xml:space="preserve">[__]</w:t>
            </w:r>
          </w:p>
        </w:tc>
        <w:tc>
          <w:tcPr>
            <w:tcW w:type="pct" w:w="25%"/>
            <w:tcBorders>
              <w:top w:val="single" w:color="999999" w:sz="4"/>
              <w:left w:val="single" w:color="999999" w:sz="4"/>
              <w:bottom w:val="single" w:color="999999" w:sz="4"/>
              <w:right w:val="single" w:color="999999" w:sz="4"/>
            </w:tcBorders>
          </w:tcPr>
          <w:p>
            <w:pPr>
              <w:jc w:val="center"/>
            </w:pPr>
            <w:r>
              <w:rPr>
                <w:rFonts w:ascii="Times New Roman" w:cs="Times New Roman" w:eastAsia="Times New Roman" w:hAnsi="Times New Roman"/>
                <w:sz w:val="20"/>
                <w:szCs w:val="20"/>
              </w:rPr>
              <w:t xml:space="preserve">[__]</w:t>
            </w:r>
          </w:p>
        </w:tc>
      </w:tr>
      <w:tr>
        <w:tc>
          <w:tcPr>
            <w:tcW w:type="pct" w:w="5%"/>
            <w:tcBorders>
              <w:top w:val="single" w:color="999999" w:sz="4"/>
              <w:left w:val="single" w:color="999999" w:sz="4"/>
              <w:bottom w:val="single" w:color="999999" w:sz="4"/>
              <w:right w:val="single" w:color="999999" w:sz="4"/>
            </w:tcBorders>
          </w:tcPr>
          <w:p>
            <w:pPr>
              <w:jc w:val="center"/>
            </w:pPr>
            <w:r>
              <w:rPr>
                <w:rFonts w:ascii="Times New Roman" w:cs="Times New Roman" w:eastAsia="Times New Roman" w:hAnsi="Times New Roman"/>
                <w:sz w:val="20"/>
                <w:szCs w:val="20"/>
              </w:rPr>
              <w:t xml:space="preserve">2</w:t>
            </w:r>
          </w:p>
        </w:tc>
        <w:tc>
          <w:tcPr>
            <w:tcW w:type="pct" w:w="40%"/>
            <w:tcBorders>
              <w:top w:val="single" w:color="999999" w:sz="4"/>
              <w:left w:val="single" w:color="999999" w:sz="4"/>
              <w:bottom w:val="single" w:color="999999" w:sz="4"/>
              <w:right w:val="single" w:color="999999" w:sz="4"/>
            </w:tcBorders>
          </w:tcPr>
          <w:p>
            <w:pPr>
              <w:jc w:val="left"/>
            </w:pPr>
            <w:r>
              <w:rPr>
                <w:rFonts w:ascii="Times New Roman" w:cs="Times New Roman" w:eastAsia="Times New Roman" w:hAnsi="Times New Roman"/>
                <w:sz w:val="20"/>
                <w:szCs w:val="20"/>
              </w:rPr>
              <w:t xml:space="preserve">[__________]</w:t>
            </w:r>
          </w:p>
        </w:tc>
        <w:tc>
          <w:tcPr>
            <w:tcW w:type="pct" w:w="12%"/>
            <w:tcBorders>
              <w:top w:val="single" w:color="999999" w:sz="4"/>
              <w:left w:val="single" w:color="999999" w:sz="4"/>
              <w:bottom w:val="single" w:color="999999" w:sz="4"/>
              <w:right w:val="single" w:color="999999" w:sz="4"/>
            </w:tcBorders>
          </w:tcPr>
          <w:p>
            <w:pPr>
              <w:jc w:val="center"/>
            </w:pPr>
            <w:r>
              <w:rPr>
                <w:rFonts w:ascii="Times New Roman" w:cs="Times New Roman" w:eastAsia="Times New Roman" w:hAnsi="Times New Roman"/>
                <w:sz w:val="20"/>
                <w:szCs w:val="20"/>
              </w:rPr>
              <w:t xml:space="preserve">[__]</w:t>
            </w:r>
          </w:p>
        </w:tc>
        <w:tc>
          <w:tcPr>
            <w:tcW w:type="pct" w:w="18%"/>
            <w:tcBorders>
              <w:top w:val="single" w:color="999999" w:sz="4"/>
              <w:left w:val="single" w:color="999999" w:sz="4"/>
              <w:bottom w:val="single" w:color="999999" w:sz="4"/>
              <w:right w:val="single" w:color="999999" w:sz="4"/>
            </w:tcBorders>
          </w:tcPr>
          <w:p>
            <w:pPr>
              <w:jc w:val="center"/>
            </w:pPr>
            <w:r>
              <w:rPr>
                <w:rFonts w:ascii="Times New Roman" w:cs="Times New Roman" w:eastAsia="Times New Roman" w:hAnsi="Times New Roman"/>
                <w:sz w:val="20"/>
                <w:szCs w:val="20"/>
              </w:rPr>
              <w:t xml:space="preserve">[__]</w:t>
            </w:r>
          </w:p>
        </w:tc>
        <w:tc>
          <w:tcPr>
            <w:tcW w:type="pct" w:w="25%"/>
            <w:tcBorders>
              <w:top w:val="single" w:color="999999" w:sz="4"/>
              <w:left w:val="single" w:color="999999" w:sz="4"/>
              <w:bottom w:val="single" w:color="999999" w:sz="4"/>
              <w:right w:val="single" w:color="999999" w:sz="4"/>
            </w:tcBorders>
          </w:tcPr>
          <w:p>
            <w:pPr>
              <w:jc w:val="center"/>
            </w:pPr>
            <w:r>
              <w:rPr>
                <w:rFonts w:ascii="Times New Roman" w:cs="Times New Roman" w:eastAsia="Times New Roman" w:hAnsi="Times New Roman"/>
                <w:sz w:val="20"/>
                <w:szCs w:val="20"/>
              </w:rPr>
              <w:t xml:space="preserve">[__]</w:t>
            </w:r>
          </w:p>
        </w:tc>
      </w:tr>
      <w:tr>
        <w:tc>
          <w:tcPr>
            <w:tcW w:type="pct" w:w="5%"/>
            <w:tcBorders>
              <w:top w:val="single" w:color="999999" w:sz="4"/>
              <w:left w:val="single" w:color="999999" w:sz="4"/>
              <w:bottom w:val="single" w:color="999999" w:sz="4"/>
              <w:right w:val="single" w:color="999999" w:sz="4"/>
            </w:tcBorders>
          </w:tcPr>
          <w:p>
            <w:pPr>
              <w:jc w:val="center"/>
            </w:pPr>
            <w:r>
              <w:rPr>
                <w:rFonts w:ascii="Times New Roman" w:cs="Times New Roman" w:eastAsia="Times New Roman" w:hAnsi="Times New Roman"/>
                <w:sz w:val="20"/>
                <w:szCs w:val="20"/>
              </w:rPr>
              <w:t xml:space="preserve">3</w:t>
            </w:r>
          </w:p>
        </w:tc>
        <w:tc>
          <w:tcPr>
            <w:tcW w:type="pct" w:w="40%"/>
            <w:tcBorders>
              <w:top w:val="single" w:color="999999" w:sz="4"/>
              <w:left w:val="single" w:color="999999" w:sz="4"/>
              <w:bottom w:val="single" w:color="999999" w:sz="4"/>
              <w:right w:val="single" w:color="999999" w:sz="4"/>
            </w:tcBorders>
          </w:tcPr>
          <w:p>
            <w:pPr>
              <w:jc w:val="left"/>
            </w:pPr>
            <w:r>
              <w:rPr>
                <w:rFonts w:ascii="Times New Roman" w:cs="Times New Roman" w:eastAsia="Times New Roman" w:hAnsi="Times New Roman"/>
                <w:sz w:val="20"/>
                <w:szCs w:val="20"/>
              </w:rPr>
              <w:t xml:space="preserve">[__________]</w:t>
            </w:r>
          </w:p>
        </w:tc>
        <w:tc>
          <w:tcPr>
            <w:tcW w:type="pct" w:w="12%"/>
            <w:tcBorders>
              <w:top w:val="single" w:color="999999" w:sz="4"/>
              <w:left w:val="single" w:color="999999" w:sz="4"/>
              <w:bottom w:val="single" w:color="999999" w:sz="4"/>
              <w:right w:val="single" w:color="999999" w:sz="4"/>
            </w:tcBorders>
          </w:tcPr>
          <w:p>
            <w:pPr>
              <w:jc w:val="center"/>
            </w:pPr>
            <w:r>
              <w:rPr>
                <w:rFonts w:ascii="Times New Roman" w:cs="Times New Roman" w:eastAsia="Times New Roman" w:hAnsi="Times New Roman"/>
                <w:sz w:val="20"/>
                <w:szCs w:val="20"/>
              </w:rPr>
              <w:t xml:space="preserve">[__]</w:t>
            </w:r>
          </w:p>
        </w:tc>
        <w:tc>
          <w:tcPr>
            <w:tcW w:type="pct" w:w="18%"/>
            <w:tcBorders>
              <w:top w:val="single" w:color="999999" w:sz="4"/>
              <w:left w:val="single" w:color="999999" w:sz="4"/>
              <w:bottom w:val="single" w:color="999999" w:sz="4"/>
              <w:right w:val="single" w:color="999999" w:sz="4"/>
            </w:tcBorders>
          </w:tcPr>
          <w:p>
            <w:pPr>
              <w:jc w:val="center"/>
            </w:pPr>
            <w:r>
              <w:rPr>
                <w:rFonts w:ascii="Times New Roman" w:cs="Times New Roman" w:eastAsia="Times New Roman" w:hAnsi="Times New Roman"/>
                <w:sz w:val="20"/>
                <w:szCs w:val="20"/>
              </w:rPr>
              <w:t xml:space="preserve">[__]</w:t>
            </w:r>
          </w:p>
        </w:tc>
        <w:tc>
          <w:tcPr>
            <w:tcW w:type="pct" w:w="25%"/>
            <w:tcBorders>
              <w:top w:val="single" w:color="999999" w:sz="4"/>
              <w:left w:val="single" w:color="999999" w:sz="4"/>
              <w:bottom w:val="single" w:color="999999" w:sz="4"/>
              <w:right w:val="single" w:color="999999" w:sz="4"/>
            </w:tcBorders>
          </w:tcPr>
          <w:p>
            <w:pPr>
              <w:jc w:val="center"/>
            </w:pPr>
            <w:r>
              <w:rPr>
                <w:rFonts w:ascii="Times New Roman" w:cs="Times New Roman" w:eastAsia="Times New Roman" w:hAnsi="Times New Roman"/>
                <w:sz w:val="20"/>
                <w:szCs w:val="20"/>
              </w:rPr>
              <w:t xml:space="preserve">[__]</w:t>
            </w:r>
          </w:p>
        </w:tc>
      </w:tr>
      <w:tr>
        <w:tc>
          <w:tcPr>
            <w:tcW w:type="pct" w:w="5%"/>
            <w:tcBorders>
              <w:top w:val="single" w:color="999999" w:sz="4"/>
              <w:left w:val="single" w:color="999999" w:sz="4"/>
              <w:bottom w:val="single" w:color="999999" w:sz="4"/>
              <w:right w:val="single" w:color="999999" w:sz="4"/>
            </w:tcBorders>
          </w:tcPr>
          <w:p>
            <w:pPr>
              <w:jc w:val="center"/>
            </w:pPr>
            <w:r>
              <w:rPr>
                <w:rFonts w:ascii="Times New Roman" w:cs="Times New Roman" w:eastAsia="Times New Roman" w:hAnsi="Times New Roman"/>
                <w:sz w:val="20"/>
                <w:szCs w:val="20"/>
              </w:rPr>
              <w:t xml:space="preserve"/>
            </w:r>
          </w:p>
        </w:tc>
        <w:tc>
          <w:tcPr>
            <w:tcW w:type="pct" w:w="40%"/>
            <w:tcBorders>
              <w:top w:val="single" w:color="999999" w:sz="4"/>
              <w:left w:val="single" w:color="999999" w:sz="4"/>
              <w:bottom w:val="single" w:color="999999" w:sz="4"/>
              <w:right w:val="single" w:color="999999" w:sz="4"/>
            </w:tcBorders>
          </w:tcPr>
          <w:p>
            <w:pPr>
              <w:jc w:val="left"/>
            </w:pPr>
            <w:r>
              <w:rPr>
                <w:rFonts w:ascii="Times New Roman" w:cs="Times New Roman" w:eastAsia="Times New Roman" w:hAnsi="Times New Roman"/>
                <w:sz w:val="20"/>
                <w:szCs w:val="20"/>
              </w:rPr>
              <w:t xml:space="preserve">ИТОГО:</w:t>
            </w:r>
          </w:p>
        </w:tc>
        <w:tc>
          <w:tcPr>
            <w:tcW w:type="pct" w:w="12%"/>
            <w:tcBorders>
              <w:top w:val="single" w:color="999999" w:sz="4"/>
              <w:left w:val="single" w:color="999999" w:sz="4"/>
              <w:bottom w:val="single" w:color="999999" w:sz="4"/>
              <w:right w:val="single" w:color="999999" w:sz="4"/>
            </w:tcBorders>
          </w:tcPr>
          <w:p>
            <w:pPr>
              <w:jc w:val="center"/>
            </w:pPr>
            <w:r>
              <w:rPr>
                <w:rFonts w:ascii="Times New Roman" w:cs="Times New Roman" w:eastAsia="Times New Roman" w:hAnsi="Times New Roman"/>
                <w:sz w:val="20"/>
                <w:szCs w:val="20"/>
              </w:rPr>
              <w:t xml:space="preserve"/>
            </w:r>
          </w:p>
        </w:tc>
        <w:tc>
          <w:tcPr>
            <w:tcW w:type="pct" w:w="18%"/>
            <w:tcBorders>
              <w:top w:val="single" w:color="999999" w:sz="4"/>
              <w:left w:val="single" w:color="999999" w:sz="4"/>
              <w:bottom w:val="single" w:color="999999" w:sz="4"/>
              <w:right w:val="single" w:color="999999" w:sz="4"/>
            </w:tcBorders>
          </w:tcPr>
          <w:p>
            <w:pPr>
              <w:jc w:val="center"/>
            </w:pPr>
            <w:r>
              <w:rPr>
                <w:rFonts w:ascii="Times New Roman" w:cs="Times New Roman" w:eastAsia="Times New Roman" w:hAnsi="Times New Roman"/>
                <w:sz w:val="20"/>
                <w:szCs w:val="20"/>
              </w:rPr>
              <w:t xml:space="preserve"/>
            </w:r>
          </w:p>
        </w:tc>
        <w:tc>
          <w:tcPr>
            <w:tcW w:type="pct" w:w="25%"/>
            <w:tcBorders>
              <w:top w:val="single" w:color="999999" w:sz="4"/>
              <w:left w:val="single" w:color="999999" w:sz="4"/>
              <w:bottom w:val="single" w:color="999999" w:sz="4"/>
              <w:right w:val="single" w:color="999999" w:sz="4"/>
            </w:tcBorders>
          </w:tcPr>
          <w:p>
            <w:pPr>
              <w:jc w:val="center"/>
            </w:pPr>
            <w:r>
              <w:rPr>
                <w:rFonts w:ascii="Times New Roman" w:cs="Times New Roman" w:eastAsia="Times New Roman" w:hAnsi="Times New Roman"/>
                <w:sz w:val="20"/>
                <w:szCs w:val="20"/>
              </w:rPr>
              <w:t xml:space="preserve">[__]</w:t>
            </w:r>
          </w:p>
        </w:tc>
      </w:tr>
    </w:tbl>
    <w:p>
      <w:pPr>
        <w:spacing w:after="200" w:before="0" w:line="360"/>
        <w:jc w:val="left"/>
      </w:pPr>
      <w:r>
        <w:rPr>
          <w:rFonts w:ascii="Times New Roman" w:cs="Times New Roman" w:eastAsia="Times New Roman" w:hAnsi="Times New Roman"/>
          <w:sz w:val="24"/>
          <w:szCs w:val="24"/>
        </w:rPr>
        <w:t xml:space="preserve"/>
      </w:r>
    </w:p>
    <w:p>
      <w:pPr>
        <w:spacing w:after="200" w:before="0" w:line="360"/>
        <w:ind w:firstLine="400"/>
        <w:jc w:val="left"/>
      </w:pPr>
      <w:r>
        <w:rPr>
          <w:rFonts w:ascii="Times New Roman" w:cs="Times New Roman" w:eastAsia="Times New Roman" w:hAnsi="Times New Roman"/>
          <w:sz w:val="24"/>
          <w:szCs w:val="24"/>
        </w:rPr>
        <w:t xml:space="preserve">Также Истец просит взыскать проценты за пользование чужими денежными средствами по ст. 395 ГК РФ, начисленные на сумму долга с даты вступления решения суда в законную силу до момента фактического исполнения обязательства, а также судебные расходы, понесённые в связи с рассмотрением дела: расходы по уплате государственной пошлины, расходы на оплату услуг представителя [и иные документально подтверждённые расходы].</w:t>
      </w:r>
    </w:p>
    <w:p>
      <w:pPr>
        <w:spacing w:after="200" w:before="300" w:line="360"/>
        <w:jc w:val="left"/>
      </w:pPr>
      <w:r>
        <w:rPr>
          <w:rFonts w:ascii="Times New Roman" w:cs="Times New Roman" w:eastAsia="Times New Roman" w:hAnsi="Times New Roman"/>
          <w:b/>
          <w:bCs/>
          <w:sz w:val="26"/>
          <w:szCs w:val="26"/>
        </w:rPr>
        <w:t xml:space="preserve">5. Просительная часть</w:t>
      </w:r>
    </w:p>
    <w:p>
      <w:pPr>
        <w:spacing w:after="200" w:before="0" w:line="360"/>
        <w:ind w:firstLine="400"/>
        <w:jc w:val="left"/>
      </w:pPr>
      <w:r>
        <w:rPr>
          <w:rFonts w:ascii="Times New Roman" w:cs="Times New Roman" w:eastAsia="Times New Roman" w:hAnsi="Times New Roman"/>
          <w:sz w:val="24"/>
          <w:szCs w:val="24"/>
        </w:rPr>
        <w:t xml:space="preserve">На основании изложенного, руководствуясь ст. 15, 309, 310, 393, 395, 401, 428, 901, 902, 998, 1001 Гражданского кодекса РФ, ст. 8, 34, 35, 46 Конституции РФ, ст. 4, 65, 125, 126 Арбитражного процессуального кодекса РФ, Постановлением Пленума Верховного Суда РФ от 23.06.2015 № 25, Постановлением Пленума Верховного Суда РФ от 24.03.2016 № 7,</w:t>
      </w:r>
    </w:p>
    <w:p>
      <w:pPr>
        <w:spacing w:after="200" w:before="200" w:line="360"/>
        <w:jc w:val="left"/>
      </w:pPr>
      <w:r>
        <w:rPr>
          <w:rFonts w:ascii="Times New Roman" w:cs="Times New Roman" w:eastAsia="Times New Roman" w:hAnsi="Times New Roman"/>
          <w:b/>
          <w:bCs/>
          <w:sz w:val="24"/>
          <w:szCs w:val="24"/>
        </w:rPr>
        <w:t xml:space="preserve">ПРОШУ СУД:</w:t>
      </w:r>
    </w:p>
    <w:p>
      <w:pPr>
        <w:spacing w:after="200" w:before="0" w:line="360"/>
        <w:ind w:firstLine="400"/>
        <w:jc w:val="left"/>
      </w:pPr>
      <w:r>
        <w:rPr>
          <w:rFonts w:ascii="Times New Roman" w:cs="Times New Roman" w:eastAsia="Times New Roman" w:hAnsi="Times New Roman"/>
          <w:sz w:val="24"/>
          <w:szCs w:val="24"/>
        </w:rPr>
        <w:t xml:space="preserve">1. Взыскать с ООО «РВБ» (ИНН 9714053621, ОГРН 1247700471919) в пользу [Истец] сумму убытков (реального ущерба) в размере [__] руб., причинённых утратой (повреждением) товара в результате пожара на складе, произошедшего 18.07.2026.</w:t>
      </w:r>
    </w:p>
    <w:p>
      <w:pPr>
        <w:spacing w:after="200" w:before="0" w:line="360"/>
        <w:ind w:firstLine="400"/>
        <w:jc w:val="left"/>
      </w:pPr>
      <w:r>
        <w:rPr>
          <w:rFonts w:ascii="Times New Roman" w:cs="Times New Roman" w:eastAsia="Times New Roman" w:hAnsi="Times New Roman"/>
          <w:sz w:val="24"/>
          <w:szCs w:val="24"/>
        </w:rPr>
        <w:t xml:space="preserve">2. Взыскать с ООО «РВБ» проценты за пользование чужими денежными средствами, начисленные на сумму, указанную в п. 1, по ключевой ставке Банка России, начиная со дня вступления решения суда в законную силу и до дня фактического исполнения обязательства.</w:t>
      </w:r>
    </w:p>
    <w:p>
      <w:pPr>
        <w:spacing w:after="200" w:before="0" w:line="360"/>
        <w:ind w:firstLine="400"/>
        <w:jc w:val="left"/>
      </w:pPr>
      <w:r>
        <w:rPr>
          <w:rFonts w:ascii="Times New Roman" w:cs="Times New Roman" w:eastAsia="Times New Roman" w:hAnsi="Times New Roman"/>
          <w:sz w:val="24"/>
          <w:szCs w:val="24"/>
        </w:rPr>
        <w:t xml:space="preserve">3. Взыскать с ООО «РВБ» в пользу [Истец] расходы по уплате государственной пошлины в размере [__] руб.</w:t>
      </w:r>
    </w:p>
    <w:p>
      <w:pPr>
        <w:spacing w:after="200" w:before="0" w:line="360"/>
        <w:ind w:firstLine="400"/>
        <w:jc w:val="left"/>
      </w:pPr>
      <w:r>
        <w:rPr>
          <w:rFonts w:ascii="Times New Roman" w:cs="Times New Roman" w:eastAsia="Times New Roman" w:hAnsi="Times New Roman"/>
          <w:sz w:val="24"/>
          <w:szCs w:val="24"/>
        </w:rPr>
        <w:t xml:space="preserve">4. Взыскать с ООО «РВБ» в пользу [Истец] расходы на оплату услуг представителя в размере [__] руб. (при наличии).</w:t>
      </w:r>
    </w:p>
    <w:p>
      <w:pPr>
        <w:spacing w:after="200" w:before="300" w:line="360"/>
        <w:jc w:val="left"/>
      </w:pPr>
      <w:r>
        <w:rPr>
          <w:rFonts w:ascii="Times New Roman" w:cs="Times New Roman" w:eastAsia="Times New Roman" w:hAnsi="Times New Roman"/>
          <w:b/>
          <w:bCs/>
          <w:sz w:val="26"/>
          <w:szCs w:val="26"/>
        </w:rPr>
        <w:t xml:space="preserve">6. Перечень приложений</w:t>
      </w:r>
    </w:p>
    <w:p>
      <w:pPr>
        <w:spacing w:after="200" w:before="0" w:line="360"/>
        <w:ind w:firstLine="400"/>
        <w:jc w:val="left"/>
      </w:pPr>
      <w:r>
        <w:rPr>
          <w:rFonts w:ascii="Times New Roman" w:cs="Times New Roman" w:eastAsia="Times New Roman" w:hAnsi="Times New Roman"/>
          <w:sz w:val="24"/>
          <w:szCs w:val="24"/>
        </w:rPr>
        <w:t xml:space="preserve">1. Копия Оферты ООО «РВБ» (действующая редакция и редакция, действовавшая на момент передачи товара на хранение).</w:t>
      </w:r>
    </w:p>
    <w:p>
      <w:pPr>
        <w:spacing w:after="200" w:before="0" w:line="360"/>
        <w:ind w:firstLine="400"/>
        <w:jc w:val="left"/>
      </w:pPr>
      <w:r>
        <w:rPr>
          <w:rFonts w:ascii="Times New Roman" w:cs="Times New Roman" w:eastAsia="Times New Roman" w:hAnsi="Times New Roman"/>
          <w:sz w:val="24"/>
          <w:szCs w:val="24"/>
        </w:rPr>
        <w:t xml:space="preserve">2. Документы, подтверждающие закупочную стоимость товара (УПД, товарные накладные, счета).</w:t>
      </w:r>
    </w:p>
    <w:p>
      <w:pPr>
        <w:spacing w:after="200" w:before="0" w:line="360"/>
        <w:ind w:firstLine="400"/>
        <w:jc w:val="left"/>
      </w:pPr>
      <w:r>
        <w:rPr>
          <w:rFonts w:ascii="Times New Roman" w:cs="Times New Roman" w:eastAsia="Times New Roman" w:hAnsi="Times New Roman"/>
          <w:sz w:val="24"/>
          <w:szCs w:val="24"/>
        </w:rPr>
        <w:t xml:space="preserve">3. Отчёты (скрин-копии) личного кабинета продавца об остатках товара на складе на 17–18.07.2026.</w:t>
      </w:r>
    </w:p>
    <w:p>
      <w:pPr>
        <w:spacing w:after="200" w:before="0" w:line="360"/>
        <w:ind w:firstLine="400"/>
        <w:jc w:val="left"/>
      </w:pPr>
      <w:r>
        <w:rPr>
          <w:rFonts w:ascii="Times New Roman" w:cs="Times New Roman" w:eastAsia="Times New Roman" w:hAnsi="Times New Roman"/>
          <w:sz w:val="24"/>
          <w:szCs w:val="24"/>
        </w:rPr>
        <w:t xml:space="preserve">4. Документы, подтверждающие факт пожара / атаки БПЛА и его последствия (акты МЧС, публичные заявления Ответчика, материалы СМИ).</w:t>
      </w:r>
    </w:p>
    <w:p>
      <w:pPr>
        <w:spacing w:after="200" w:before="0" w:line="360"/>
        <w:ind w:firstLine="400"/>
        <w:jc w:val="left"/>
      </w:pPr>
      <w:r>
        <w:rPr>
          <w:rFonts w:ascii="Times New Roman" w:cs="Times New Roman" w:eastAsia="Times New Roman" w:hAnsi="Times New Roman"/>
          <w:sz w:val="24"/>
          <w:szCs w:val="24"/>
        </w:rPr>
        <w:t xml:space="preserve">5. Копия претензии и доказательства её направления Ответчику.</w:t>
      </w:r>
    </w:p>
    <w:p>
      <w:pPr>
        <w:spacing w:after="200" w:before="0" w:line="360"/>
        <w:ind w:firstLine="400"/>
        <w:jc w:val="left"/>
      </w:pPr>
      <w:r>
        <w:rPr>
          <w:rFonts w:ascii="Times New Roman" w:cs="Times New Roman" w:eastAsia="Times New Roman" w:hAnsi="Times New Roman"/>
          <w:sz w:val="24"/>
          <w:szCs w:val="24"/>
        </w:rPr>
        <w:t xml:space="preserve">6. Ответ Ответчика на претензию (при наличии).</w:t>
      </w:r>
    </w:p>
    <w:p>
      <w:pPr>
        <w:spacing w:after="200" w:before="0" w:line="360"/>
        <w:ind w:firstLine="400"/>
        <w:jc w:val="left"/>
      </w:pPr>
      <w:r>
        <w:rPr>
          <w:rFonts w:ascii="Times New Roman" w:cs="Times New Roman" w:eastAsia="Times New Roman" w:hAnsi="Times New Roman"/>
          <w:sz w:val="24"/>
          <w:szCs w:val="24"/>
        </w:rPr>
        <w:t xml:space="preserve">7. Выписка из ЕГРИП / ЕГРЮЛ на Истца.</w:t>
      </w:r>
    </w:p>
    <w:p>
      <w:pPr>
        <w:spacing w:after="200" w:before="0" w:line="360"/>
        <w:ind w:firstLine="400"/>
        <w:jc w:val="left"/>
      </w:pPr>
      <w:r>
        <w:rPr>
          <w:rFonts w:ascii="Times New Roman" w:cs="Times New Roman" w:eastAsia="Times New Roman" w:hAnsi="Times New Roman"/>
          <w:sz w:val="24"/>
          <w:szCs w:val="24"/>
        </w:rPr>
        <w:t xml:space="preserve">8. Выписка из ЕГРЮЛ на Ответчика.</w:t>
      </w:r>
    </w:p>
    <w:p>
      <w:pPr>
        <w:spacing w:after="200" w:before="0" w:line="360"/>
        <w:ind w:firstLine="400"/>
        <w:jc w:val="left"/>
      </w:pPr>
      <w:r>
        <w:rPr>
          <w:rFonts w:ascii="Times New Roman" w:cs="Times New Roman" w:eastAsia="Times New Roman" w:hAnsi="Times New Roman"/>
          <w:sz w:val="24"/>
          <w:szCs w:val="24"/>
        </w:rPr>
        <w:t xml:space="preserve">9. Документ, подтверждающий уплату государственной пошлины.</w:t>
      </w:r>
    </w:p>
    <w:p>
      <w:pPr>
        <w:spacing w:after="200" w:before="0" w:line="360"/>
        <w:ind w:firstLine="400"/>
        <w:jc w:val="left"/>
      </w:pPr>
      <w:r>
        <w:rPr>
          <w:rFonts w:ascii="Times New Roman" w:cs="Times New Roman" w:eastAsia="Times New Roman" w:hAnsi="Times New Roman"/>
          <w:sz w:val="24"/>
          <w:szCs w:val="24"/>
        </w:rPr>
        <w:t xml:space="preserve">10. Копия искового заявления и приложений для направления Ответчику (ч. 3 ст. 125 АПК РФ).</w:t>
      </w:r>
    </w:p>
    <w:p>
      <w:pPr>
        <w:spacing w:after="200" w:before="0" w:line="360"/>
        <w:ind w:firstLine="400"/>
        <w:jc w:val="left"/>
      </w:pPr>
      <w:r>
        <w:rPr>
          <w:rFonts w:ascii="Times New Roman" w:cs="Times New Roman" w:eastAsia="Times New Roman" w:hAnsi="Times New Roman"/>
          <w:sz w:val="24"/>
          <w:szCs w:val="24"/>
        </w:rPr>
        <w:t xml:space="preserve">11. Обе редакции Оферты ООО «РВБ»: действующая на дату подачи иска и действовавшая на дату передачи товара Истца на хранение (архив редакций доступен в личном кабинете WB Partners).</w:t>
      </w:r>
    </w:p>
    <w:p>
      <w:pPr>
        <w:spacing w:after="200" w:before="0" w:line="360"/>
        <w:ind w:firstLine="400"/>
        <w:jc w:val="left"/>
      </w:pPr>
      <w:r>
        <w:rPr>
          <w:rFonts w:ascii="Times New Roman" w:cs="Times New Roman" w:eastAsia="Times New Roman" w:hAnsi="Times New Roman"/>
          <w:sz w:val="24"/>
          <w:szCs w:val="24"/>
        </w:rPr>
        <w:t xml:space="preserve">12. Материалы, подтверждающие возбуждение уголовного дела по признакам преступления, предусмотренного ст. 205 УК РФ (при наличии — справка/уведомление СК России о возбуждении уголовного дела по факту атаки на логистический комплекс).</w:t>
      </w:r>
    </w:p>
    <w:p>
      <w:pPr>
        <w:spacing w:after="200" w:before="0" w:line="360"/>
        <w:ind w:firstLine="400"/>
        <w:jc w:val="left"/>
      </w:pPr>
      <w:r>
        <w:rPr>
          <w:rFonts w:ascii="Times New Roman" w:cs="Times New Roman" w:eastAsia="Times New Roman" w:hAnsi="Times New Roman"/>
          <w:sz w:val="24"/>
          <w:szCs w:val="24"/>
        </w:rPr>
        <w:t xml:space="preserve">13. Отчёт о движении товара (остатки, продажи, возвраты) по конкретным артикулам/баркодам Истца за период, предшествующий атаке 18.07.2026.</w:t>
      </w:r>
    </w:p>
    <w:p>
      <w:pPr>
        <w:spacing w:after="200" w:before="300" w:line="360"/>
        <w:jc w:val="left"/>
      </w:pPr>
      <w:r>
        <w:rPr>
          <w:rFonts w:ascii="Times New Roman" w:cs="Times New Roman" w:eastAsia="Times New Roman" w:hAnsi="Times New Roman"/>
          <w:b/>
          <w:bCs/>
          <w:sz w:val="26"/>
          <w:szCs w:val="26"/>
        </w:rPr>
        <w:t xml:space="preserve">7. Внесудебные меры: обращение в Федеральную антимонопольную службу</w:t>
      </w:r>
    </w:p>
    <w:p>
      <w:pPr>
        <w:spacing w:after="200" w:before="0" w:line="360"/>
        <w:ind w:firstLine="400"/>
        <w:jc w:val="left"/>
      </w:pPr>
      <w:r>
        <w:rPr>
          <w:rFonts w:ascii="Times New Roman" w:cs="Times New Roman" w:eastAsia="Times New Roman" w:hAnsi="Times New Roman"/>
          <w:sz w:val="24"/>
          <w:szCs w:val="24"/>
        </w:rPr>
        <w:t xml:space="preserve">Помимо судебного порядка защиты прав, Истцу целесообразно направить обращение в Федеральную антимонопольную службу России (ФАС России) о признаках нарушения Ответчиком ст. 10 Федерального закона от 26.07.2006 № 135-ФЗ «О защите конкуренции» (запрет на злоупотребление доминирующим положением, включая навязывание контрагенту невыгодных условий договора).</w:t>
      </w:r>
    </w:p>
    <w:p>
      <w:pPr>
        <w:spacing w:after="200" w:before="0" w:line="360"/>
        <w:ind w:firstLine="400"/>
        <w:jc w:val="left"/>
      </w:pPr>
      <w:r>
        <w:rPr>
          <w:rFonts w:ascii="Times New Roman" w:cs="Times New Roman" w:eastAsia="Times New Roman" w:hAnsi="Times New Roman"/>
          <w:sz w:val="24"/>
          <w:szCs w:val="24"/>
        </w:rPr>
        <w:t xml:space="preserve">Основания для обращения: (1) решением ФАС России от 24.01.2024 Ответчик (правопредшественник — ООО «Вайлдберриз») совместно с Ozon признан занимающим коллективное доминирующее положение на рынке услуг маркетплейсов; (2) ФАС России ранее уже выносила Ответчику предупреждения о признаках навязывания продавцам невыгодных условий оферты (в частности, предупреждение от 09.04.2024, а также последующие предупреждения в 2025–2026 годах); (3) оферта продавца Wildberries изменялась Ответчиком в одностороннем порядке не менее 12 раз только в первом полугодии 2026 года, включая внесение оспариваемого п. 11.3.4.1 (подпункт 6) 07.07.2026 — за 11 дней до наступления страхового случая, без предварительного уведомления и обсуждения условий с продавцами.</w:t>
      </w:r>
    </w:p>
    <w:p>
      <w:pPr>
        <w:spacing w:after="200" w:before="0" w:line="360"/>
        <w:ind w:firstLine="400"/>
        <w:jc w:val="left"/>
      </w:pPr>
      <w:r>
        <w:rPr>
          <w:rFonts w:ascii="Times New Roman" w:cs="Times New Roman" w:eastAsia="Times New Roman" w:hAnsi="Times New Roman"/>
          <w:sz w:val="24"/>
          <w:szCs w:val="24"/>
        </w:rPr>
        <w:t xml:space="preserve">Обращение в ФАС России не заменяет судебную защиту и не является основанием для взыскания убытков в пользу конкретного продавца, однако может повлечь предписание об изменении условий оферты и создать дополнительное давление на Ответчика (в 2026 году коллективные обращения продавцов в ФАС уже принимались к рассмотрению).</w:t>
      </w:r>
    </w:p>
    <w:p>
      <w:pPr>
        <w:spacing w:after="200" w:before="0" w:line="360"/>
        <w:ind w:firstLine="400"/>
        <w:jc w:val="left"/>
      </w:pPr>
      <w:r>
        <w:rPr>
          <w:rFonts w:ascii="Times New Roman" w:cs="Times New Roman" w:eastAsia="Times New Roman" w:hAnsi="Times New Roman"/>
          <w:sz w:val="24"/>
          <w:szCs w:val="24"/>
        </w:rPr>
        <w:t xml:space="preserve">Обращение в Роспотребнадзор и в организации по защите прав потребителей не рассматривается как применимая мера защиты, поскольку законодательство о защите прав потребителей регулирует отношения Ответчика (в качестве владельца агрегатора) с покупателями товара, а не с продавцами (поставщиками), и к настоящему спору не применяется.</w:t>
      </w:r>
    </w:p>
    <w:p>
      <w:pPr>
        <w:spacing w:after="400" w:before="0" w:line="360"/>
        <w:jc w:val="left"/>
      </w:pPr>
      <w:r>
        <w:rPr>
          <w:rFonts w:ascii="Times New Roman" w:cs="Times New Roman" w:eastAsia="Times New Roman" w:hAnsi="Times New Roman"/>
          <w:sz w:val="24"/>
          <w:szCs w:val="24"/>
        </w:rPr>
        <w:t xml:space="preserve"/>
      </w:r>
    </w:p>
    <w:p>
      <w:pPr>
        <w:spacing w:after="200" w:line="360"/>
        <w:jc w:val="left"/>
      </w:pPr>
      <w:r>
        <w:rPr>
          <w:rFonts w:ascii="Times New Roman" w:cs="Times New Roman" w:eastAsia="Times New Roman" w:hAnsi="Times New Roman"/>
          <w:sz w:val="24"/>
          <w:szCs w:val="24"/>
        </w:rPr>
        <w:t xml:space="preserve">Дата: </w:t>
      </w:r>
      <w:r>
        <w:rPr>
          <w:rFonts w:ascii="Times New Roman" w:cs="Times New Roman" w:eastAsia="Times New Roman" w:hAnsi="Times New Roman"/>
          <w:sz w:val="24"/>
          <w:szCs w:val="24"/>
        </w:rPr>
        <w:t xml:space="preserve">[__________]</w:t>
      </w:r>
    </w:p>
    <w:p>
      <w:pPr>
        <w:spacing w:after="200" w:line="360"/>
        <w:jc w:val="left"/>
      </w:pPr>
      <w:r>
        <w:rPr>
          <w:rFonts w:ascii="Times New Roman" w:cs="Times New Roman" w:eastAsia="Times New Roman" w:hAnsi="Times New Roman"/>
          <w:sz w:val="24"/>
          <w:szCs w:val="24"/>
        </w:rPr>
        <w:t xml:space="preserve">Истец: </w:t>
      </w:r>
      <w:r>
        <w:rPr>
          <w:rFonts w:ascii="Times New Roman" w:cs="Times New Roman" w:eastAsia="Times New Roman" w:hAnsi="Times New Roman"/>
          <w:sz w:val="24"/>
          <w:szCs w:val="24"/>
        </w:rPr>
        <w:t xml:space="preserve">[подпись] / [ФИО, должность]</w:t>
      </w:r>
    </w:p>
    <w:sectPr>
      <w:pgSz w:w="11906" w:h="16838" w:orient="portrait"/>
      <w:pgMar w:top="850" w:right="850" w:bottom="850" w:left="17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2026-07-18T17:54:38.133Z</dcterms:created>
  <dcterms:modified xsi:type="dcterms:W3CDTF">2026-07-18T17:54:38.133Z</dcterms:modified>
</cp:coreProperties>
</file>

<file path=docProps/custom.xml><?xml version="1.0" encoding="utf-8"?>
<Properties xmlns="http://schemas.openxmlformats.org/officeDocument/2006/custom-properties" xmlns:vt="http://schemas.openxmlformats.org/officeDocument/2006/docPropsVTypes"/>
</file>