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БИЗНЕС-ПЛАН</w:t>
        <w:br/>
      </w:r>
      <w:r>
        <w:rPr>
          <w:b/>
          <w:sz w:val="30"/>
        </w:rPr>
        <w:t>Мобильная электротехническая лаборатория ЭТЛ-10 на полноприводном автомобиле</w:t>
      </w:r>
    </w:p>
    <w:p>
      <w:pPr>
        <w:jc w:val="center"/>
      </w:pPr>
      <w:r>
        <w:rPr>
          <w:b/>
        </w:rPr>
        <w:t>Инвестиционный проект | Самарская область</w:t>
        <w:br/>
      </w:r>
      <w:r>
        <w:t>Целевая территория: Самарская и Оренбургская области</w:t>
        <w:br/>
      </w:r>
      <w:r>
        <w:t>Запрашиваемые инвестиции: 12 000 000 ₽</w:t>
        <w:br/>
      </w:r>
      <w:r>
        <w:t>Базовый актив: новая ЭТЛ-10 на полноприводном автомобиле ТЕХНО-АС</w:t>
        <w:br/>
      </w:r>
      <w:r>
        <w:t>Дата: август 2026 г.</w:t>
      </w:r>
    </w:p>
    <w:p>
      <w:pPr>
        <w:pStyle w:val="Heading1"/>
      </w:pPr>
      <w:r>
        <w:t>1. Резюме проекта</w:t>
      </w:r>
    </w:p>
    <w:p>
      <w:r>
        <w:t>Проект предусматривает создание специализированной мобильной электротехнической лаборатории для выездного выполнения электроизмерений, испытаний электрооборудования и пусконаладочных работ на промышленных, нефтесервисных и буровых объектах.</w:t>
      </w:r>
    </w:p>
    <w:p>
      <w:r>
        <w:t>Ключевой актив проекта — новая ЭТЛ-10 на полноприводном автомобиле. В качестве базового ценового ориентира используется открытое предложение ТЕХНО-АС: около 10 998 000 ₽ с НДС. Таким образом, запрашиваемые 12 млн ₽ позволяют приобрести саму лабораторию и сохранить ограниченный резерв на запуск, организационные расходы и оборотный капитал.</w:t>
      </w:r>
    </w:p>
    <w:p>
      <w:r>
        <w:t>На первом этапе компания работает с электроустановками до 10 кВ. После выхода на стабильную загрузку предусматривается расширение оборудования, квалификации персонала и перечня работ до 35 кВ и выше.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Показатель</w:t>
            </w:r>
          </w:p>
        </w:tc>
        <w:tc>
          <w:tcPr>
            <w:tcW w:type="dxa" w:w="5112"/>
          </w:tcPr>
          <w:p>
            <w:r>
              <w:rPr>
                <w:b/>
              </w:rPr>
              <w:t>План</w:t>
            </w:r>
          </w:p>
        </w:tc>
      </w:tr>
      <w:tr>
        <w:tc>
          <w:tcPr>
            <w:tcW w:type="dxa" w:w="5112"/>
            <w:vAlign w:val="center"/>
          </w:tcPr>
          <w:p>
            <w:r>
              <w:t>Инвестиции</w:t>
            </w:r>
          </w:p>
        </w:tc>
        <w:tc>
          <w:tcPr>
            <w:tcW w:type="dxa" w:w="5112"/>
            <w:vAlign w:val="center"/>
          </w:tcPr>
          <w:p>
            <w:r>
              <w:t>12 000 000 ₽</w:t>
            </w:r>
          </w:p>
        </w:tc>
      </w:tr>
      <w:tr>
        <w:tc>
          <w:tcPr>
            <w:tcW w:type="dxa" w:w="5112"/>
            <w:vAlign w:val="center"/>
          </w:tcPr>
          <w:p>
            <w:r>
              <w:t>Основной актив</w:t>
            </w:r>
          </w:p>
        </w:tc>
        <w:tc>
          <w:tcPr>
            <w:tcW w:type="dxa" w:w="5112"/>
            <w:vAlign w:val="center"/>
          </w:tcPr>
          <w:p>
            <w:r>
              <w:t>Новая ЭТЛ-10 на полноприводном автомобиле</w:t>
            </w:r>
          </w:p>
        </w:tc>
      </w:tr>
      <w:tr>
        <w:tc>
          <w:tcPr>
            <w:tcW w:type="dxa" w:w="5112"/>
            <w:vAlign w:val="center"/>
          </w:tcPr>
          <w:p>
            <w:r>
              <w:t>Цена-ориентир ТЕХНО-АС</w:t>
            </w:r>
          </w:p>
        </w:tc>
        <w:tc>
          <w:tcPr>
            <w:tcW w:type="dxa" w:w="5112"/>
            <w:vAlign w:val="center"/>
          </w:tcPr>
          <w:p>
            <w:r>
              <w:t>10 998 000 ₽ с НДС</w:t>
            </w:r>
          </w:p>
        </w:tc>
      </w:tr>
      <w:tr>
        <w:tc>
          <w:tcPr>
            <w:tcW w:type="dxa" w:w="5112"/>
            <w:vAlign w:val="center"/>
          </w:tcPr>
          <w:p>
            <w:r>
              <w:t>Стартовая область работ</w:t>
            </w:r>
          </w:p>
        </w:tc>
        <w:tc>
          <w:tcPr>
            <w:tcW w:type="dxa" w:w="5112"/>
            <w:vAlign w:val="center"/>
          </w:tcPr>
          <w:p>
            <w:r>
              <w:t>До 10 кВ</w:t>
            </w:r>
          </w:p>
        </w:tc>
      </w:tr>
      <w:tr>
        <w:tc>
          <w:tcPr>
            <w:tcW w:type="dxa" w:w="5112"/>
            <w:vAlign w:val="center"/>
          </w:tcPr>
          <w:p>
            <w:r>
              <w:t>Перспектива</w:t>
            </w:r>
          </w:p>
        </w:tc>
        <w:tc>
          <w:tcPr>
            <w:tcW w:type="dxa" w:w="5112"/>
            <w:vAlign w:val="center"/>
          </w:tcPr>
          <w:p>
            <w:r>
              <w:t>Расширение до 35 кВ и выше</w:t>
            </w:r>
          </w:p>
        </w:tc>
      </w:tr>
      <w:tr>
        <w:tc>
          <w:tcPr>
            <w:tcW w:type="dxa" w:w="5112"/>
            <w:vAlign w:val="center"/>
          </w:tcPr>
          <w:p>
            <w:r>
              <w:t>Регионы</w:t>
            </w:r>
          </w:p>
        </w:tc>
        <w:tc>
          <w:tcPr>
            <w:tcW w:type="dxa" w:w="5112"/>
            <w:vAlign w:val="center"/>
          </w:tcPr>
          <w:p>
            <w:r>
              <w:t>Самарская и Оренбургская области</w:t>
            </w:r>
          </w:p>
        </w:tc>
      </w:tr>
      <w:tr>
        <w:tc>
          <w:tcPr>
            <w:tcW w:type="dxa" w:w="5112"/>
            <w:vAlign w:val="center"/>
          </w:tcPr>
          <w:p>
            <w:r>
              <w:t>Модель</w:t>
            </w:r>
          </w:p>
        </w:tc>
        <w:tc>
          <w:tcPr>
            <w:tcW w:type="dxa" w:w="5112"/>
            <w:vAlign w:val="center"/>
          </w:tcPr>
          <w:p>
            <w:r>
              <w:t>B2B: разовые работы + ПНР + ТО + субподряд</w:t>
            </w:r>
          </w:p>
        </w:tc>
      </w:tr>
    </w:tbl>
    <w:p>
      <w:pPr>
        <w:pStyle w:val="Heading1"/>
      </w:pPr>
      <w:r>
        <w:t>2. Почему именно новая ЭТЛ-10</w:t>
      </w:r>
    </w:p>
    <w:p>
      <w:pPr>
        <w:pStyle w:val="ListBullet"/>
      </w:pPr>
      <w:r>
        <w:t>Готовая мобильная производственная единица, не требующая самостоятельной сборки лабораторного автомобиля с нуля.</w:t>
      </w:r>
    </w:p>
    <w:p>
      <w:pPr>
        <w:pStyle w:val="ListBullet"/>
      </w:pPr>
      <w:r>
        <w:t>Полноприводное исполнение подходит для выездов на удалённые промышленные и нефтесервисные объекты, включая объекты с тяжёлыми дорожными условиями.</w:t>
      </w:r>
    </w:p>
    <w:p>
      <w:pPr>
        <w:pStyle w:val="ListBullet"/>
      </w:pPr>
      <w:r>
        <w:t>Новая техника снижает риски износа и непредвиденных простоев по сравнению с приобретением старой лаборатории.</w:t>
      </w:r>
    </w:p>
    <w:p>
      <w:pPr>
        <w:pStyle w:val="ListBullet"/>
      </w:pPr>
      <w:r>
        <w:t>Наличие собственного автомобиля-лаборатории позволяет выполнять работы непосредственно на территории заказчика.</w:t>
      </w:r>
    </w:p>
    <w:p>
      <w:pPr>
        <w:pStyle w:val="ListBullet"/>
      </w:pPr>
      <w:r>
        <w:t>Актив может использоваться в течение нескольких лет и при масштабировании стать базой для второй мобильной лаборатории.</w:t>
      </w:r>
    </w:p>
    <w:p>
      <w:pPr>
        <w:pStyle w:val="Heading1"/>
      </w:pPr>
      <w:r>
        <w:t>3. Целевой рынок</w:t>
      </w:r>
    </w:p>
    <w:p>
      <w:r>
        <w:t>Основной рынок проекта — B2B-заказчики Самарской и Оренбургской областей. Особый фокус — нефтегазовые и нефтесервисные компании, владельцы и операторы буровых, промышленные предприятия, электромонтажные организации и генеральные подрядчики.</w:t>
      </w:r>
    </w:p>
    <w:p>
      <w:r>
        <w:t>Для заказчика ценность услуги состоит в том, что специализированная бригада приезжает на объект, выполняет измерения и испытания и передаёт комплект необходимой технической документации.</w:t>
      </w:r>
    </w:p>
    <w:p>
      <w:r>
        <w:t>Проект не строит маркетинг на утверждении, что конкурентов нет. Конкуренты присутствуют, в том числе профильные организации в Оренбурге и Самарской области. Конкурентное преимущество — территориальная близость к самарским объектам, мобильность, возможность оперативного выезда и специализация на нефтесервисном/промышленном сегменте.</w:t>
      </w:r>
    </w:p>
    <w:p>
      <w:pPr>
        <w:pStyle w:val="Heading1"/>
      </w:pPr>
      <w:r>
        <w:t>4. Услуги</w:t>
      </w:r>
    </w:p>
    <w:p>
      <w:pPr>
        <w:pStyle w:val="ListBullet"/>
      </w:pPr>
      <w:r>
        <w:t>Электроизмерения электроустановок до 10 кВ.</w:t>
      </w:r>
    </w:p>
    <w:p>
      <w:pPr>
        <w:pStyle w:val="ListBullet"/>
      </w:pPr>
      <w:r>
        <w:t>Измерение сопротивления изоляции.</w:t>
      </w:r>
    </w:p>
    <w:p>
      <w:pPr>
        <w:pStyle w:val="ListBullet"/>
      </w:pPr>
      <w:r>
        <w:t>Измерение сопротивления заземляющих устройств.</w:t>
      </w:r>
    </w:p>
    <w:p>
      <w:pPr>
        <w:pStyle w:val="ListBullet"/>
      </w:pPr>
      <w:r>
        <w:t>Проверка цепей защитных проводников и защитных устройств.</w:t>
      </w:r>
    </w:p>
    <w:p>
      <w:pPr>
        <w:pStyle w:val="ListBullet"/>
      </w:pPr>
      <w:r>
        <w:t>Испытания кабельных линий и электрооборудования.</w:t>
      </w:r>
    </w:p>
    <w:p>
      <w:pPr>
        <w:pStyle w:val="ListBullet"/>
      </w:pPr>
      <w:r>
        <w:t>Испытания трансформаторов, электродвигателей, КТП и распределительных устройств.</w:t>
      </w:r>
    </w:p>
    <w:p>
      <w:pPr>
        <w:pStyle w:val="ListBullet"/>
      </w:pPr>
      <w:r>
        <w:t>Пусконаладочные работы электрооборудования.</w:t>
      </w:r>
    </w:p>
    <w:p>
      <w:pPr>
        <w:pStyle w:val="ListBullet"/>
      </w:pPr>
      <w:r>
        <w:t>Техническое обслуживание и периодические испытания.</w:t>
      </w:r>
    </w:p>
    <w:p>
      <w:pPr>
        <w:pStyle w:val="ListBullet"/>
      </w:pPr>
      <w:r>
        <w:t>Выездная диагностика и аварийные работы.</w:t>
      </w:r>
    </w:p>
    <w:p>
      <w:pPr>
        <w:pStyle w:val="ListBullet"/>
      </w:pPr>
      <w:r>
        <w:t>Оформление протоколов, отчётов и исполнительной документации.</w:t>
      </w:r>
    </w:p>
    <w:p>
      <w:pPr>
        <w:pStyle w:val="ListBullet"/>
      </w:pPr>
      <w:r>
        <w:t>После подтверждения спроса — расширение области деятельности до 35 кВ и выше.</w:t>
      </w:r>
    </w:p>
    <w:p>
      <w:pPr>
        <w:pStyle w:val="Heading1"/>
      </w:pPr>
      <w:r>
        <w:t>5. Целевые клиенты</w:t>
      </w:r>
    </w:p>
    <w:p>
      <w:pPr>
        <w:pStyle w:val="ListBullet"/>
      </w:pPr>
      <w:r>
        <w:t>Нефтегазовые компании.</w:t>
      </w:r>
    </w:p>
    <w:p>
      <w:pPr>
        <w:pStyle w:val="ListBullet"/>
      </w:pPr>
      <w:r>
        <w:t>Нефтесервисные компании.</w:t>
      </w:r>
    </w:p>
    <w:p>
      <w:pPr>
        <w:pStyle w:val="ListBullet"/>
      </w:pPr>
      <w:r>
        <w:t>Владельцы и операторы буровых установок.</w:t>
      </w:r>
    </w:p>
    <w:p>
      <w:pPr>
        <w:pStyle w:val="ListBullet"/>
      </w:pPr>
      <w:r>
        <w:t>Промышленные предприятия.</w:t>
      </w:r>
    </w:p>
    <w:p>
      <w:pPr>
        <w:pStyle w:val="ListBullet"/>
      </w:pPr>
      <w:r>
        <w:t>Электромонтажные организации.</w:t>
      </w:r>
    </w:p>
    <w:p>
      <w:pPr>
        <w:pStyle w:val="ListBullet"/>
      </w:pPr>
      <w:r>
        <w:t>Строительные и генеральные подрядчики.</w:t>
      </w:r>
    </w:p>
    <w:p>
      <w:pPr>
        <w:pStyle w:val="ListBullet"/>
      </w:pPr>
      <w:r>
        <w:t>Энергетические и производственные предприятия.</w:t>
      </w:r>
    </w:p>
    <w:p>
      <w:pPr>
        <w:pStyle w:val="Heading1"/>
      </w:pPr>
      <w:r>
        <w:t>6. Конкурентное преимущество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Преимущество</w:t>
            </w:r>
          </w:p>
        </w:tc>
        <w:tc>
          <w:tcPr>
            <w:tcW w:type="dxa" w:w="5112"/>
          </w:tcPr>
          <w:p>
            <w:r>
              <w:rPr>
                <w:b/>
              </w:rPr>
              <w:t>Что получает клиент</w:t>
            </w:r>
          </w:p>
        </w:tc>
      </w:tr>
      <w:tr>
        <w:tc>
          <w:tcPr>
            <w:tcW w:type="dxa" w:w="5112"/>
            <w:vAlign w:val="center"/>
          </w:tcPr>
          <w:p>
            <w:r>
              <w:t>Мобильная ЭТЛ</w:t>
            </w:r>
          </w:p>
        </w:tc>
        <w:tc>
          <w:tcPr>
            <w:tcW w:type="dxa" w:w="5112"/>
            <w:vAlign w:val="center"/>
          </w:tcPr>
          <w:p>
            <w:r>
              <w:t>Работа непосредственно на объекте</w:t>
            </w:r>
          </w:p>
        </w:tc>
      </w:tr>
      <w:tr>
        <w:tc>
          <w:tcPr>
            <w:tcW w:type="dxa" w:w="5112"/>
            <w:vAlign w:val="center"/>
          </w:tcPr>
          <w:p>
            <w:r>
              <w:t>Полноприводный автомобиль</w:t>
            </w:r>
          </w:p>
        </w:tc>
        <w:tc>
          <w:tcPr>
            <w:tcW w:type="dxa" w:w="5112"/>
            <w:vAlign w:val="center"/>
          </w:tcPr>
          <w:p>
            <w:r>
              <w:t>Доступ к удалённым и сложным объектам</w:t>
            </w:r>
          </w:p>
        </w:tc>
      </w:tr>
      <w:tr>
        <w:tc>
          <w:tcPr>
            <w:tcW w:type="dxa" w:w="5112"/>
            <w:vAlign w:val="center"/>
          </w:tcPr>
          <w:p>
            <w:r>
              <w:t>Новая лаборатория</w:t>
            </w:r>
          </w:p>
        </w:tc>
        <w:tc>
          <w:tcPr>
            <w:tcW w:type="dxa" w:w="5112"/>
            <w:vAlign w:val="center"/>
          </w:tcPr>
          <w:p>
            <w:r>
              <w:t>Меньше риска износа и внеплановых простоев</w:t>
            </w:r>
          </w:p>
        </w:tc>
      </w:tr>
      <w:tr>
        <w:tc>
          <w:tcPr>
            <w:tcW w:type="dxa" w:w="5112"/>
            <w:vAlign w:val="center"/>
          </w:tcPr>
          <w:p>
            <w:r>
              <w:t>Самарская база</w:t>
            </w:r>
          </w:p>
        </w:tc>
        <w:tc>
          <w:tcPr>
            <w:tcW w:type="dxa" w:w="5112"/>
            <w:vAlign w:val="center"/>
          </w:tcPr>
          <w:p>
            <w:r>
              <w:t>Сокращение времени выезда к объектам региона</w:t>
            </w:r>
          </w:p>
        </w:tc>
      </w:tr>
      <w:tr>
        <w:tc>
          <w:tcPr>
            <w:tcW w:type="dxa" w:w="5112"/>
            <w:vAlign w:val="center"/>
          </w:tcPr>
          <w:p>
            <w:r>
              <w:t>Нефтегазовый фокус</w:t>
            </w:r>
          </w:p>
        </w:tc>
        <w:tc>
          <w:tcPr>
            <w:tcW w:type="dxa" w:w="5112"/>
            <w:vAlign w:val="center"/>
          </w:tcPr>
          <w:p>
            <w:r>
              <w:t>Специализация под потребности буровых и нефтесервиса</w:t>
            </w:r>
          </w:p>
        </w:tc>
      </w:tr>
      <w:tr>
        <w:tc>
          <w:tcPr>
            <w:tcW w:type="dxa" w:w="5112"/>
            <w:vAlign w:val="center"/>
          </w:tcPr>
          <w:p>
            <w:r>
              <w:t>Комплексная услуга</w:t>
            </w:r>
          </w:p>
        </w:tc>
        <w:tc>
          <w:tcPr>
            <w:tcW w:type="dxa" w:w="5112"/>
            <w:vAlign w:val="center"/>
          </w:tcPr>
          <w:p>
            <w:r>
              <w:t>Измерения + испытания + ПНР + документация</w:t>
            </w:r>
          </w:p>
        </w:tc>
      </w:tr>
      <w:tr>
        <w:tc>
          <w:tcPr>
            <w:tcW w:type="dxa" w:w="5112"/>
            <w:vAlign w:val="center"/>
          </w:tcPr>
          <w:p>
            <w:r>
              <w:t>Субподряд</w:t>
            </w:r>
          </w:p>
        </w:tc>
        <w:tc>
          <w:tcPr>
            <w:tcW w:type="dxa" w:w="5112"/>
            <w:vAlign w:val="center"/>
          </w:tcPr>
          <w:p>
            <w:r>
              <w:t>Возможность работать с крупными подрядчиками без самостоятельного поиска каждого конечного объекта</w:t>
            </w:r>
          </w:p>
        </w:tc>
      </w:tr>
    </w:tbl>
    <w:p>
      <w:pPr>
        <w:pStyle w:val="Heading1"/>
      </w:pPr>
      <w:r>
        <w:t>7. Организация работы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Этап</w:t>
            </w:r>
          </w:p>
        </w:tc>
        <w:tc>
          <w:tcPr>
            <w:tcW w:type="dxa" w:w="5112"/>
          </w:tcPr>
          <w:p>
            <w:r>
              <w:rPr>
                <w:b/>
              </w:rPr>
              <w:t>Процесс</w:t>
            </w:r>
          </w:p>
        </w:tc>
      </w:tr>
      <w:tr>
        <w:tc>
          <w:tcPr>
            <w:tcW w:type="dxa" w:w="5112"/>
            <w:vAlign w:val="center"/>
          </w:tcPr>
          <w:p>
            <w:r>
              <w:t>1</w:t>
            </w:r>
          </w:p>
        </w:tc>
        <w:tc>
          <w:tcPr>
            <w:tcW w:type="dxa" w:w="5112"/>
            <w:vAlign w:val="center"/>
          </w:tcPr>
          <w:p>
            <w:r>
              <w:t>Получение заявки, схем и технического задания</w:t>
            </w:r>
          </w:p>
        </w:tc>
      </w:tr>
      <w:tr>
        <w:tc>
          <w:tcPr>
            <w:tcW w:type="dxa" w:w="5112"/>
            <w:vAlign w:val="center"/>
          </w:tcPr>
          <w:p>
            <w:r>
              <w:t>2</w:t>
            </w:r>
          </w:p>
        </w:tc>
        <w:tc>
          <w:tcPr>
            <w:tcW w:type="dxa" w:w="5112"/>
            <w:vAlign w:val="center"/>
          </w:tcPr>
          <w:p>
            <w:r>
              <w:t>Определение состава испытаний и расчёт цены</w:t>
            </w:r>
          </w:p>
        </w:tc>
      </w:tr>
      <w:tr>
        <w:tc>
          <w:tcPr>
            <w:tcW w:type="dxa" w:w="5112"/>
            <w:vAlign w:val="center"/>
          </w:tcPr>
          <w:p>
            <w:r>
              <w:t>3</w:t>
            </w:r>
          </w:p>
        </w:tc>
        <w:tc>
          <w:tcPr>
            <w:tcW w:type="dxa" w:w="5112"/>
            <w:vAlign w:val="center"/>
          </w:tcPr>
          <w:p>
            <w:r>
              <w:t>Выезд ЭТЛ-10 на объект</w:t>
            </w:r>
          </w:p>
        </w:tc>
      </w:tr>
      <w:tr>
        <w:tc>
          <w:tcPr>
            <w:tcW w:type="dxa" w:w="5112"/>
            <w:vAlign w:val="center"/>
          </w:tcPr>
          <w:p>
            <w:r>
              <w:t>4</w:t>
            </w:r>
          </w:p>
        </w:tc>
        <w:tc>
          <w:tcPr>
            <w:tcW w:type="dxa" w:w="5112"/>
            <w:vAlign w:val="center"/>
          </w:tcPr>
          <w:p>
            <w:r>
              <w:t>Измерения и испытания</w:t>
            </w:r>
          </w:p>
        </w:tc>
      </w:tr>
      <w:tr>
        <w:tc>
          <w:tcPr>
            <w:tcW w:type="dxa" w:w="5112"/>
            <w:vAlign w:val="center"/>
          </w:tcPr>
          <w:p>
            <w:r>
              <w:t>5</w:t>
            </w:r>
          </w:p>
        </w:tc>
        <w:tc>
          <w:tcPr>
            <w:tcW w:type="dxa" w:w="5112"/>
            <w:vAlign w:val="center"/>
          </w:tcPr>
          <w:p>
            <w:r>
              <w:t>Проверка результатов</w:t>
            </w:r>
          </w:p>
        </w:tc>
      </w:tr>
      <w:tr>
        <w:tc>
          <w:tcPr>
            <w:tcW w:type="dxa" w:w="5112"/>
            <w:vAlign w:val="center"/>
          </w:tcPr>
          <w:p>
            <w:r>
              <w:t>6</w:t>
            </w:r>
          </w:p>
        </w:tc>
        <w:tc>
          <w:tcPr>
            <w:tcW w:type="dxa" w:w="5112"/>
            <w:vAlign w:val="center"/>
          </w:tcPr>
          <w:p>
            <w:r>
              <w:t>Оформление протоколов и отчёта</w:t>
            </w:r>
          </w:p>
        </w:tc>
      </w:tr>
      <w:tr>
        <w:tc>
          <w:tcPr>
            <w:tcW w:type="dxa" w:w="5112"/>
            <w:vAlign w:val="center"/>
          </w:tcPr>
          <w:p>
            <w:r>
              <w:t>7</w:t>
            </w:r>
          </w:p>
        </w:tc>
        <w:tc>
          <w:tcPr>
            <w:tcW w:type="dxa" w:w="5112"/>
            <w:vAlign w:val="center"/>
          </w:tcPr>
          <w:p>
            <w:r>
              <w:t>Закрытие работ и предложение регулярного обслуживания</w:t>
            </w:r>
          </w:p>
        </w:tc>
      </w:tr>
    </w:tbl>
    <w:p>
      <w:pPr>
        <w:pStyle w:val="Heading1"/>
      </w:pPr>
      <w:r>
        <w:t>8. Персонал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</w:tcPr>
          <w:p>
            <w:r>
              <w:rPr>
                <w:b/>
              </w:rPr>
              <w:t>Должность</w:t>
            </w:r>
          </w:p>
        </w:tc>
        <w:tc>
          <w:tcPr>
            <w:tcW w:type="dxa" w:w="3408"/>
          </w:tcPr>
          <w:p>
            <w:r>
              <w:rPr>
                <w:b/>
              </w:rPr>
              <w:t>Количество</w:t>
            </w:r>
          </w:p>
        </w:tc>
        <w:tc>
          <w:tcPr>
            <w:tcW w:type="dxa" w:w="3408"/>
          </w:tcPr>
          <w:p>
            <w:r>
              <w:rPr>
                <w:b/>
              </w:rPr>
              <w:t>Плановый ФОТ</w:t>
            </w:r>
          </w:p>
        </w:tc>
      </w:tr>
      <w:tr>
        <w:tc>
          <w:tcPr>
            <w:tcW w:type="dxa" w:w="3408"/>
            <w:vAlign w:val="center"/>
          </w:tcPr>
          <w:p>
            <w:r>
              <w:t>Руководитель / инженер ЭТЛ</w:t>
            </w:r>
          </w:p>
        </w:tc>
        <w:tc>
          <w:tcPr>
            <w:tcW w:type="dxa" w:w="3408"/>
            <w:vAlign w:val="center"/>
          </w:tcPr>
          <w:p>
            <w:r>
              <w:t>1</w:t>
            </w:r>
          </w:p>
        </w:tc>
        <w:tc>
          <w:tcPr>
            <w:tcW w:type="dxa" w:w="3408"/>
            <w:vAlign w:val="center"/>
          </w:tcPr>
          <w:p>
            <w:r>
              <w:t>100 000 ₽/мес.</w:t>
            </w:r>
          </w:p>
        </w:tc>
      </w:tr>
      <w:tr>
        <w:tc>
          <w:tcPr>
            <w:tcW w:type="dxa" w:w="3408"/>
            <w:vAlign w:val="center"/>
          </w:tcPr>
          <w:p>
            <w:r>
              <w:t>Испытатели / электромонтёры</w:t>
            </w:r>
          </w:p>
        </w:tc>
        <w:tc>
          <w:tcPr>
            <w:tcW w:type="dxa" w:w="3408"/>
            <w:vAlign w:val="center"/>
          </w:tcPr>
          <w:p>
            <w:r>
              <w:t>2</w:t>
            </w:r>
          </w:p>
        </w:tc>
        <w:tc>
          <w:tcPr>
            <w:tcW w:type="dxa" w:w="3408"/>
            <w:vAlign w:val="center"/>
          </w:tcPr>
          <w:p>
            <w:r>
              <w:t>180 000 ₽/мес. суммарно</w:t>
            </w:r>
          </w:p>
        </w:tc>
      </w:tr>
      <w:tr>
        <w:tc>
          <w:tcPr>
            <w:tcW w:type="dxa" w:w="3408"/>
            <w:vAlign w:val="center"/>
          </w:tcPr>
          <w:p>
            <w:r>
              <w:t>Бухгалтер / юрист</w:t>
            </w:r>
          </w:p>
        </w:tc>
        <w:tc>
          <w:tcPr>
            <w:tcW w:type="dxa" w:w="3408"/>
            <w:vAlign w:val="center"/>
          </w:tcPr>
          <w:p>
            <w:r>
              <w:t>Аутсорсинг</w:t>
            </w:r>
          </w:p>
        </w:tc>
        <w:tc>
          <w:tcPr>
            <w:tcW w:type="dxa" w:w="3408"/>
            <w:vAlign w:val="center"/>
          </w:tcPr>
          <w:p>
            <w:r>
              <w:t>≈30 000 ₽/мес.</w:t>
            </w:r>
          </w:p>
        </w:tc>
      </w:tr>
      <w:tr>
        <w:tc>
          <w:tcPr>
            <w:tcW w:type="dxa" w:w="3408"/>
            <w:vAlign w:val="center"/>
          </w:tcPr>
          <w:p>
            <w:r>
              <w:t>Итого прямой ФОТ</w:t>
            </w:r>
          </w:p>
        </w:tc>
        <w:tc>
          <w:tcPr>
            <w:tcW w:type="dxa" w:w="3408"/>
            <w:vAlign w:val="center"/>
          </w:tcPr>
          <w:p>
            <w:r>
              <w:t>3 человека</w:t>
            </w:r>
          </w:p>
        </w:tc>
        <w:tc>
          <w:tcPr>
            <w:tcW w:type="dxa" w:w="3408"/>
            <w:vAlign w:val="center"/>
          </w:tcPr>
          <w:p>
            <w:r>
              <w:t>≈280 000 ₽/мес.</w:t>
            </w:r>
          </w:p>
        </w:tc>
      </w:tr>
    </w:tbl>
    <w:p>
      <w:r>
        <w:t>Фактические требования к квалификации, допускам, составу бригады, охране труда и организации работ определяются нормативными требованиями и условиями конкретных заказчиков. Расширение до 35 кВ потребует отдельной проверки требований к персоналу и оснащению.</w:t>
      </w:r>
    </w:p>
    <w:p>
      <w:pPr>
        <w:pStyle w:val="Heading1"/>
      </w:pPr>
      <w:r>
        <w:t>9. Инвестиционный бюджет — 12 млн 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Статья</w:t>
            </w:r>
          </w:p>
        </w:tc>
        <w:tc>
          <w:tcPr>
            <w:tcW w:type="dxa" w:w="5112"/>
          </w:tcPr>
          <w:p>
            <w:r>
              <w:rPr>
                <w:b/>
              </w:rPr>
              <w:t>Сумма</w:t>
            </w:r>
          </w:p>
        </w:tc>
      </w:tr>
      <w:tr>
        <w:tc>
          <w:tcPr>
            <w:tcW w:type="dxa" w:w="5112"/>
            <w:vAlign w:val="center"/>
          </w:tcPr>
          <w:p>
            <w:r>
              <w:t>Новая ЭТЛ-10 на полноприводном автомобиле ТЕХНО-АС</w:t>
            </w:r>
          </w:p>
        </w:tc>
        <w:tc>
          <w:tcPr>
            <w:tcW w:type="dxa" w:w="5112"/>
            <w:vAlign w:val="center"/>
          </w:tcPr>
          <w:p>
            <w:r>
              <w:t>10 998 000 ₽</w:t>
            </w:r>
          </w:p>
        </w:tc>
      </w:tr>
      <w:tr>
        <w:tc>
          <w:tcPr>
            <w:tcW w:type="dxa" w:w="5112"/>
            <w:vAlign w:val="center"/>
          </w:tcPr>
          <w:p>
            <w:r>
              <w:t>Первичный запас расходных материалов / оснастки</w:t>
            </w:r>
          </w:p>
        </w:tc>
        <w:tc>
          <w:tcPr>
            <w:tcW w:type="dxa" w:w="5112"/>
            <w:vAlign w:val="center"/>
          </w:tcPr>
          <w:p>
            <w:r>
              <w:t>250 000 ₽</w:t>
            </w:r>
          </w:p>
        </w:tc>
      </w:tr>
      <w:tr>
        <w:tc>
          <w:tcPr>
            <w:tcW w:type="dxa" w:w="5112"/>
            <w:vAlign w:val="center"/>
          </w:tcPr>
          <w:p>
            <w:r>
              <w:t>СИЗ, заземления, ограждения и вспомогательное оснащение</w:t>
            </w:r>
          </w:p>
        </w:tc>
        <w:tc>
          <w:tcPr>
            <w:tcW w:type="dxa" w:w="5112"/>
            <w:vAlign w:val="center"/>
          </w:tcPr>
          <w:p>
            <w:r>
              <w:t>200 000 ₽</w:t>
            </w:r>
          </w:p>
        </w:tc>
      </w:tr>
      <w:tr>
        <w:tc>
          <w:tcPr>
            <w:tcW w:type="dxa" w:w="5112"/>
            <w:vAlign w:val="center"/>
          </w:tcPr>
          <w:p>
            <w:r>
              <w:t>Поверка/метрология и организационные расходы</w:t>
            </w:r>
          </w:p>
        </w:tc>
        <w:tc>
          <w:tcPr>
            <w:tcW w:type="dxa" w:w="5112"/>
            <w:vAlign w:val="center"/>
          </w:tcPr>
          <w:p>
            <w:r>
              <w:t>150 000 ₽</w:t>
            </w:r>
          </w:p>
        </w:tc>
      </w:tr>
      <w:tr>
        <w:tc>
          <w:tcPr>
            <w:tcW w:type="dxa" w:w="5112"/>
            <w:vAlign w:val="center"/>
          </w:tcPr>
          <w:p>
            <w:r>
              <w:t>Запуск продаж, сайт, CRM, связь</w:t>
            </w:r>
          </w:p>
        </w:tc>
        <w:tc>
          <w:tcPr>
            <w:tcW w:type="dxa" w:w="5112"/>
            <w:vAlign w:val="center"/>
          </w:tcPr>
          <w:p>
            <w:r>
              <w:t>100 000 ₽</w:t>
            </w:r>
          </w:p>
        </w:tc>
      </w:tr>
      <w:tr>
        <w:tc>
          <w:tcPr>
            <w:tcW w:type="dxa" w:w="5112"/>
            <w:vAlign w:val="center"/>
          </w:tcPr>
          <w:p>
            <w:r>
              <w:t>Оборотный резерв</w:t>
            </w:r>
          </w:p>
        </w:tc>
        <w:tc>
          <w:tcPr>
            <w:tcW w:type="dxa" w:w="5112"/>
            <w:vAlign w:val="center"/>
          </w:tcPr>
          <w:p>
            <w:r>
              <w:t>302 000 ₽</w:t>
            </w:r>
          </w:p>
        </w:tc>
      </w:tr>
      <w:tr>
        <w:tc>
          <w:tcPr>
            <w:tcW w:type="dxa" w:w="5112"/>
            <w:vAlign w:val="center"/>
          </w:tcPr>
          <w:p>
            <w:r>
              <w:t>ИТОГО</w:t>
            </w:r>
          </w:p>
        </w:tc>
        <w:tc>
          <w:tcPr>
            <w:tcW w:type="dxa" w:w="5112"/>
            <w:vAlign w:val="center"/>
          </w:tcPr>
          <w:p>
            <w:r>
              <w:t>12 000 000 ₽</w:t>
            </w:r>
          </w:p>
        </w:tc>
      </w:tr>
    </w:tbl>
    <w:p>
      <w:r>
        <w:t>Важное допущение: 10 998 000 ₽ — ориентир по открытому предложению ТЕХНО-АС с НДС, а не подтверждённая коммерческая оферта на конкретную дату. До заключения сделки необходимо получить актуальное КП, проверить состав оборудования, срок изготовления, гарантию, условия поставки и возможность изменения цены.</w:t>
      </w:r>
    </w:p>
    <w:p>
      <w:pPr>
        <w:pStyle w:val="Heading1"/>
      </w:pPr>
      <w:r>
        <w:t>10. Источник финансирования</w:t>
      </w:r>
    </w:p>
    <w:p>
      <w:r>
        <w:t>Основной вариант — инвестиции частного инвестора в размере 12 млн ₽. Альтернативно возможно сочетание собственных/инвестиционных средств и лизинга, но в данной версии бизнес-плана финансовая модель построена исходя из того, что инвестор предоставляет весь бюджет 12 млн ₽.</w:t>
      </w:r>
    </w:p>
    <w:p>
      <w:r>
        <w:t>При покупке за счёт инвестиций у компании отсутствует лизинговый платёж по шасси, что снижает ежемесячную долговую нагрузку. Однако стоимость капитала инвестора должна быть учтена при согласовании условий инвестиционной сделки.</w:t>
      </w:r>
    </w:p>
    <w:p>
      <w:pPr>
        <w:pStyle w:val="Heading1"/>
      </w:pPr>
      <w:r>
        <w:t>11. Ценообразование</w:t>
      </w:r>
    </w:p>
    <w:p>
      <w:r>
        <w:t>Цены ниже являются рабочими диапазонами для финансовой модели. Перед стартом необходимо подтвердить их реальными коммерческими запросами по Самарской и Оренбургской областям.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Вид заказа</w:t>
            </w:r>
          </w:p>
        </w:tc>
        <w:tc>
          <w:tcPr>
            <w:tcW w:type="dxa" w:w="5112"/>
          </w:tcPr>
          <w:p>
            <w:r>
              <w:rPr>
                <w:b/>
              </w:rPr>
              <w:t>Рабочий средний чек</w:t>
            </w:r>
          </w:p>
        </w:tc>
      </w:tr>
      <w:tr>
        <w:tc>
          <w:tcPr>
            <w:tcW w:type="dxa" w:w="5112"/>
            <w:vAlign w:val="center"/>
          </w:tcPr>
          <w:p>
            <w:r>
              <w:t>Небольшой выезд / отдельные измерения</w:t>
            </w:r>
          </w:p>
        </w:tc>
        <w:tc>
          <w:tcPr>
            <w:tcW w:type="dxa" w:w="5112"/>
            <w:vAlign w:val="center"/>
          </w:tcPr>
          <w:p>
            <w:r>
              <w:t>15–40 тыс. ₽</w:t>
            </w:r>
          </w:p>
        </w:tc>
      </w:tr>
      <w:tr>
        <w:tc>
          <w:tcPr>
            <w:tcW w:type="dxa" w:w="5112"/>
            <w:vAlign w:val="center"/>
          </w:tcPr>
          <w:p>
            <w:r>
              <w:t>Комплекс электроизмерений объекта</w:t>
            </w:r>
          </w:p>
        </w:tc>
        <w:tc>
          <w:tcPr>
            <w:tcW w:type="dxa" w:w="5112"/>
            <w:vAlign w:val="center"/>
          </w:tcPr>
          <w:p>
            <w:r>
              <w:t>50–150 тыс. ₽</w:t>
            </w:r>
          </w:p>
        </w:tc>
      </w:tr>
      <w:tr>
        <w:tc>
          <w:tcPr>
            <w:tcW w:type="dxa" w:w="5112"/>
            <w:vAlign w:val="center"/>
          </w:tcPr>
          <w:p>
            <w:r>
              <w:t>КТП / трансформатор / комплекс испытаний</w:t>
            </w:r>
          </w:p>
        </w:tc>
        <w:tc>
          <w:tcPr>
            <w:tcW w:type="dxa" w:w="5112"/>
            <w:vAlign w:val="center"/>
          </w:tcPr>
          <w:p>
            <w:r>
              <w:t>80–200 тыс. ₽</w:t>
            </w:r>
          </w:p>
        </w:tc>
      </w:tr>
      <w:tr>
        <w:tc>
          <w:tcPr>
            <w:tcW w:type="dxa" w:w="5112"/>
            <w:vAlign w:val="center"/>
          </w:tcPr>
          <w:p>
            <w:r>
              <w:t>Промышленный объект</w:t>
            </w:r>
          </w:p>
        </w:tc>
        <w:tc>
          <w:tcPr>
            <w:tcW w:type="dxa" w:w="5112"/>
            <w:vAlign w:val="center"/>
          </w:tcPr>
          <w:p>
            <w:r>
              <w:t>150–500 тыс. ₽+</w:t>
            </w:r>
          </w:p>
        </w:tc>
      </w:tr>
      <w:tr>
        <w:tc>
          <w:tcPr>
            <w:tcW w:type="dxa" w:w="5112"/>
            <w:vAlign w:val="center"/>
          </w:tcPr>
          <w:p>
            <w:r>
              <w:t>Комплексный выезд на буровую</w:t>
            </w:r>
          </w:p>
        </w:tc>
        <w:tc>
          <w:tcPr>
            <w:tcW w:type="dxa" w:w="5112"/>
            <w:vAlign w:val="center"/>
          </w:tcPr>
          <w:p>
            <w:r>
              <w:t>250–600 тыс. ₽+</w:t>
            </w:r>
          </w:p>
        </w:tc>
      </w:tr>
      <w:tr>
        <w:tc>
          <w:tcPr>
            <w:tcW w:type="dxa" w:w="5112"/>
            <w:vAlign w:val="center"/>
          </w:tcPr>
          <w:p>
            <w:r>
              <w:t>ПНР</w:t>
            </w:r>
          </w:p>
        </w:tc>
        <w:tc>
          <w:tcPr>
            <w:tcW w:type="dxa" w:w="5112"/>
            <w:vAlign w:val="center"/>
          </w:tcPr>
          <w:p>
            <w:r>
              <w:t>от 150 тыс. ₽ по ТЗ</w:t>
            </w:r>
          </w:p>
        </w:tc>
      </w:tr>
    </w:tbl>
    <w:p>
      <w:r>
        <w:t>Фактическая цена должна рассчитываться с учётом состава оборудования, объёма протоколов, расстояния, командировочных, срочности и требований заказчика.</w:t>
      </w:r>
    </w:p>
    <w:p>
      <w:pPr>
        <w:pStyle w:val="Heading1"/>
      </w:pPr>
      <w:r>
        <w:t>12. План загрузки ЭТЛ-10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Этап</w:t>
            </w:r>
          </w:p>
        </w:tc>
        <w:tc>
          <w:tcPr>
            <w:tcW w:type="dxa" w:w="5112"/>
          </w:tcPr>
          <w:p>
            <w:r>
              <w:rPr>
                <w:b/>
              </w:rPr>
              <w:t>Целевая загрузка</w:t>
            </w:r>
          </w:p>
        </w:tc>
      </w:tr>
      <w:tr>
        <w:tc>
          <w:tcPr>
            <w:tcW w:type="dxa" w:w="5112"/>
            <w:vAlign w:val="center"/>
          </w:tcPr>
          <w:p>
            <w:r>
              <w:t>1–3 месяц</w:t>
            </w:r>
          </w:p>
        </w:tc>
        <w:tc>
          <w:tcPr>
            <w:tcW w:type="dxa" w:w="5112"/>
            <w:vAlign w:val="center"/>
          </w:tcPr>
          <w:p>
            <w:r>
              <w:t>Поиск заказов, первые выезды, формирование портфеля</w:t>
            </w:r>
          </w:p>
        </w:tc>
      </w:tr>
      <w:tr>
        <w:tc>
          <w:tcPr>
            <w:tcW w:type="dxa" w:w="5112"/>
            <w:vAlign w:val="center"/>
          </w:tcPr>
          <w:p>
            <w:r>
              <w:t>4–6 месяц</w:t>
            </w:r>
          </w:p>
        </w:tc>
        <w:tc>
          <w:tcPr>
            <w:tcW w:type="dxa" w:w="5112"/>
            <w:vAlign w:val="center"/>
          </w:tcPr>
          <w:p>
            <w:r>
              <w:t>≈1,0–1,5 млн ₽ выручки/мес.</w:t>
            </w:r>
          </w:p>
        </w:tc>
      </w:tr>
      <w:tr>
        <w:tc>
          <w:tcPr>
            <w:tcW w:type="dxa" w:w="5112"/>
            <w:vAlign w:val="center"/>
          </w:tcPr>
          <w:p>
            <w:r>
              <w:t>7–12 месяц</w:t>
            </w:r>
          </w:p>
        </w:tc>
        <w:tc>
          <w:tcPr>
            <w:tcW w:type="dxa" w:w="5112"/>
            <w:vAlign w:val="center"/>
          </w:tcPr>
          <w:p>
            <w:r>
              <w:t>≈1,5–2,2 млн ₽/мес.</w:t>
            </w:r>
          </w:p>
        </w:tc>
      </w:tr>
      <w:tr>
        <w:tc>
          <w:tcPr>
            <w:tcW w:type="dxa" w:w="5112"/>
            <w:vAlign w:val="center"/>
          </w:tcPr>
          <w:p>
            <w:r>
              <w:t>12–24 месяц</w:t>
            </w:r>
          </w:p>
        </w:tc>
        <w:tc>
          <w:tcPr>
            <w:tcW w:type="dxa" w:w="5112"/>
            <w:vAlign w:val="center"/>
          </w:tcPr>
          <w:p>
            <w:r>
              <w:t>≈2,0–3,0 млн ₽/мес. при стабильных контрактах</w:t>
            </w:r>
          </w:p>
        </w:tc>
      </w:tr>
    </w:tbl>
    <w:p>
      <w:r>
        <w:t>Ключевой показатель — количество оплаченных выездов и средний чек, а не формальное количество измерений.</w:t>
      </w:r>
    </w:p>
    <w:p>
      <w:pPr>
        <w:pStyle w:val="Heading1"/>
      </w:pPr>
      <w:r>
        <w:t>13. Финансовая модель — базовый сценарий</w:t>
      </w:r>
    </w:p>
    <w:p>
      <w:r>
        <w:t>Для базового сценария принимается выручка 2 000 000 ₽ в месяц. Переменные расходы приняты ориентировочно 12% выручки, постоянные расходы — около 650 000 ₽ в месяц. Это модель для оценки проекта, а не бухгалтерский прогноз.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</w:tcPr>
          <w:p>
            <w:r>
              <w:rPr>
                <w:b/>
              </w:rPr>
              <w:t>Показатель</w:t>
            </w:r>
          </w:p>
        </w:tc>
        <w:tc>
          <w:tcPr>
            <w:tcW w:type="dxa" w:w="3408"/>
          </w:tcPr>
          <w:p>
            <w:r>
              <w:rPr>
                <w:b/>
              </w:rPr>
              <w:t>Месяц</w:t>
            </w:r>
          </w:p>
        </w:tc>
        <w:tc>
          <w:tcPr>
            <w:tcW w:type="dxa" w:w="3408"/>
          </w:tcPr>
          <w:p>
            <w:r>
              <w:rPr>
                <w:b/>
              </w:rPr>
              <w:t>Год</w:t>
            </w:r>
          </w:p>
        </w:tc>
      </w:tr>
      <w:tr>
        <w:tc>
          <w:tcPr>
            <w:tcW w:type="dxa" w:w="3408"/>
            <w:vAlign w:val="center"/>
          </w:tcPr>
          <w:p>
            <w:r>
              <w:t>Выручка</w:t>
            </w:r>
          </w:p>
        </w:tc>
        <w:tc>
          <w:tcPr>
            <w:tcW w:type="dxa" w:w="3408"/>
            <w:vAlign w:val="center"/>
          </w:tcPr>
          <w:p>
            <w:r>
              <w:t>2 000 000 ₽</w:t>
            </w:r>
          </w:p>
        </w:tc>
        <w:tc>
          <w:tcPr>
            <w:tcW w:type="dxa" w:w="3408"/>
            <w:vAlign w:val="center"/>
          </w:tcPr>
          <w:p>
            <w:r>
              <w:t>24 000 000 ₽</w:t>
            </w:r>
          </w:p>
        </w:tc>
      </w:tr>
      <w:tr>
        <w:tc>
          <w:tcPr>
            <w:tcW w:type="dxa" w:w="3408"/>
            <w:vAlign w:val="center"/>
          </w:tcPr>
          <w:p>
            <w:r>
              <w:t>Переменные расходы, 12%</w:t>
            </w:r>
          </w:p>
        </w:tc>
        <w:tc>
          <w:tcPr>
            <w:tcW w:type="dxa" w:w="3408"/>
            <w:vAlign w:val="center"/>
          </w:tcPr>
          <w:p>
            <w:r>
              <w:t>240 000 ₽</w:t>
            </w:r>
          </w:p>
        </w:tc>
        <w:tc>
          <w:tcPr>
            <w:tcW w:type="dxa" w:w="3408"/>
            <w:vAlign w:val="center"/>
          </w:tcPr>
          <w:p>
            <w:r>
              <w:t>2 880 000 ₽</w:t>
            </w:r>
          </w:p>
        </w:tc>
      </w:tr>
      <w:tr>
        <w:tc>
          <w:tcPr>
            <w:tcW w:type="dxa" w:w="3408"/>
            <w:vAlign w:val="center"/>
          </w:tcPr>
          <w:p>
            <w:r>
              <w:t>Постоянные расходы</w:t>
            </w:r>
          </w:p>
        </w:tc>
        <w:tc>
          <w:tcPr>
            <w:tcW w:type="dxa" w:w="3408"/>
            <w:vAlign w:val="center"/>
          </w:tcPr>
          <w:p>
            <w:r>
              <w:t>650 000 ₽</w:t>
            </w:r>
          </w:p>
        </w:tc>
        <w:tc>
          <w:tcPr>
            <w:tcW w:type="dxa" w:w="3408"/>
            <w:vAlign w:val="center"/>
          </w:tcPr>
          <w:p>
            <w:r>
              <w:t>7 800 000 ₽</w:t>
            </w:r>
          </w:p>
        </w:tc>
      </w:tr>
      <w:tr>
        <w:tc>
          <w:tcPr>
            <w:tcW w:type="dxa" w:w="3408"/>
            <w:vAlign w:val="center"/>
          </w:tcPr>
          <w:p>
            <w:r>
              <w:t>Операционная прибыль до налога</w:t>
            </w:r>
          </w:p>
        </w:tc>
        <w:tc>
          <w:tcPr>
            <w:tcW w:type="dxa" w:w="3408"/>
            <w:vAlign w:val="center"/>
          </w:tcPr>
          <w:p>
            <w:r>
              <w:t>1 110 000 ₽</w:t>
            </w:r>
          </w:p>
        </w:tc>
        <w:tc>
          <w:tcPr>
            <w:tcW w:type="dxa" w:w="3408"/>
            <w:vAlign w:val="center"/>
          </w:tcPr>
          <w:p>
            <w:r>
              <w:t>13 320 000 ₽</w:t>
            </w:r>
          </w:p>
        </w:tc>
      </w:tr>
      <w:tr>
        <w:tc>
          <w:tcPr>
            <w:tcW w:type="dxa" w:w="3408"/>
            <w:vAlign w:val="center"/>
          </w:tcPr>
          <w:p>
            <w:r>
              <w:t>Резерв на налог/корректировки</w:t>
            </w:r>
          </w:p>
        </w:tc>
        <w:tc>
          <w:tcPr>
            <w:tcW w:type="dxa" w:w="3408"/>
            <w:vAlign w:val="center"/>
          </w:tcPr>
          <w:p>
            <w:r>
              <w:t>≈220 000 ₽</w:t>
            </w:r>
          </w:p>
        </w:tc>
        <w:tc>
          <w:tcPr>
            <w:tcW w:type="dxa" w:w="3408"/>
            <w:vAlign w:val="center"/>
          </w:tcPr>
          <w:p>
            <w:r>
              <w:t>≈2 640 000 ₽</w:t>
            </w:r>
          </w:p>
        </w:tc>
      </w:tr>
      <w:tr>
        <w:tc>
          <w:tcPr>
            <w:tcW w:type="dxa" w:w="3408"/>
            <w:vAlign w:val="center"/>
          </w:tcPr>
          <w:p>
            <w:r>
              <w:t>Ориентир чистой прибыли</w:t>
            </w:r>
          </w:p>
        </w:tc>
        <w:tc>
          <w:tcPr>
            <w:tcW w:type="dxa" w:w="3408"/>
            <w:vAlign w:val="center"/>
          </w:tcPr>
          <w:p>
            <w:r>
              <w:t>≈890 000 ₽</w:t>
            </w:r>
          </w:p>
        </w:tc>
        <w:tc>
          <w:tcPr>
            <w:tcW w:type="dxa" w:w="3408"/>
            <w:vAlign w:val="center"/>
          </w:tcPr>
          <w:p>
            <w:r>
              <w:t>≈10 680 000 ₽</w:t>
            </w:r>
          </w:p>
        </w:tc>
      </w:tr>
    </w:tbl>
    <w:p>
      <w:r>
        <w:t>Налоговая модель должна быть пересчитана после выбора режима налогообложения ООО, НДС-статуса и фактической структуры расходов.</w:t>
      </w:r>
    </w:p>
    <w:p>
      <w:pPr>
        <w:pStyle w:val="Heading1"/>
      </w:pPr>
      <w:r>
        <w:t>14. Сценарии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</w:tcPr>
          <w:p>
            <w:r>
              <w:rPr>
                <w:b/>
              </w:rPr>
              <w:t>Сценарий</w:t>
            </w:r>
          </w:p>
        </w:tc>
        <w:tc>
          <w:tcPr>
            <w:tcW w:type="dxa" w:w="3408"/>
          </w:tcPr>
          <w:p>
            <w:r>
              <w:rPr>
                <w:b/>
              </w:rPr>
              <w:t>Выручка/мес.</w:t>
            </w:r>
          </w:p>
        </w:tc>
        <w:tc>
          <w:tcPr>
            <w:tcW w:type="dxa" w:w="3408"/>
          </w:tcPr>
          <w:p>
            <w:r>
              <w:rPr>
                <w:b/>
              </w:rPr>
              <w:t>Ориентир чистой прибыли/мес.*</w:t>
            </w:r>
          </w:p>
        </w:tc>
      </w:tr>
      <w:tr>
        <w:tc>
          <w:tcPr>
            <w:tcW w:type="dxa" w:w="3408"/>
            <w:vAlign w:val="center"/>
          </w:tcPr>
          <w:p>
            <w:r>
              <w:t>Консервативный</w:t>
            </w:r>
          </w:p>
        </w:tc>
        <w:tc>
          <w:tcPr>
            <w:tcW w:type="dxa" w:w="3408"/>
            <w:vAlign w:val="center"/>
          </w:tcPr>
          <w:p>
            <w:r>
              <w:t>1,2 млн ₽</w:t>
            </w:r>
          </w:p>
        </w:tc>
        <w:tc>
          <w:tcPr>
            <w:tcW w:type="dxa" w:w="3408"/>
            <w:vAlign w:val="center"/>
          </w:tcPr>
          <w:p>
            <w:r>
              <w:t>250–350 тыс. ₽</w:t>
            </w:r>
          </w:p>
        </w:tc>
      </w:tr>
      <w:tr>
        <w:tc>
          <w:tcPr>
            <w:tcW w:type="dxa" w:w="3408"/>
            <w:vAlign w:val="center"/>
          </w:tcPr>
          <w:p>
            <w:r>
              <w:t>Базовый</w:t>
            </w:r>
          </w:p>
        </w:tc>
        <w:tc>
          <w:tcPr>
            <w:tcW w:type="dxa" w:w="3408"/>
            <w:vAlign w:val="center"/>
          </w:tcPr>
          <w:p>
            <w:r>
              <w:t>2,0 млн ₽</w:t>
            </w:r>
          </w:p>
        </w:tc>
        <w:tc>
          <w:tcPr>
            <w:tcW w:type="dxa" w:w="3408"/>
            <w:vAlign w:val="center"/>
          </w:tcPr>
          <w:p>
            <w:r>
              <w:t>800–900 тыс. ₽</w:t>
            </w:r>
          </w:p>
        </w:tc>
      </w:tr>
      <w:tr>
        <w:tc>
          <w:tcPr>
            <w:tcW w:type="dxa" w:w="3408"/>
            <w:vAlign w:val="center"/>
          </w:tcPr>
          <w:p>
            <w:r>
              <w:t>Целевой</w:t>
            </w:r>
          </w:p>
        </w:tc>
        <w:tc>
          <w:tcPr>
            <w:tcW w:type="dxa" w:w="3408"/>
            <w:vAlign w:val="center"/>
          </w:tcPr>
          <w:p>
            <w:r>
              <w:t>2,8 млн ₽</w:t>
            </w:r>
          </w:p>
        </w:tc>
        <w:tc>
          <w:tcPr>
            <w:tcW w:type="dxa" w:w="3408"/>
            <w:vAlign w:val="center"/>
          </w:tcPr>
          <w:p>
            <w:r>
              <w:t>1,4–1,6 млн ₽</w:t>
            </w:r>
          </w:p>
        </w:tc>
      </w:tr>
      <w:tr>
        <w:tc>
          <w:tcPr>
            <w:tcW w:type="dxa" w:w="3408"/>
            <w:vAlign w:val="center"/>
          </w:tcPr>
          <w:p>
            <w:r>
              <w:t>Высокая загрузка</w:t>
            </w:r>
          </w:p>
        </w:tc>
        <w:tc>
          <w:tcPr>
            <w:tcW w:type="dxa" w:w="3408"/>
            <w:vAlign w:val="center"/>
          </w:tcPr>
          <w:p>
            <w:r>
              <w:t>3,5 млн ₽+</w:t>
            </w:r>
          </w:p>
        </w:tc>
        <w:tc>
          <w:tcPr>
            <w:tcW w:type="dxa" w:w="3408"/>
            <w:vAlign w:val="center"/>
          </w:tcPr>
          <w:p>
            <w:r>
              <w:t>2,0–2,2 млн ₽</w:t>
            </w:r>
          </w:p>
        </w:tc>
      </w:tr>
    </w:tbl>
    <w:p>
      <w:r>
        <w:t>* Ориентиры зависят от налогов, зарплаты, топлива, командировок, ремонта и состава заказов; не являются гарантией.</w:t>
      </w:r>
    </w:p>
    <w:p>
      <w:pPr>
        <w:pStyle w:val="Heading1"/>
      </w:pPr>
      <w:r>
        <w:t>15. Точка безубыточности</w:t>
      </w:r>
    </w:p>
    <w:p>
      <w:r>
        <w:t>При постоянных расходах около 650 тыс. ₽ и переменных расходах около 12% выручки операционная точка безубыточности составляет примерно 740 тыс. ₽ выручки в месяц. Для безопасности проекта желательно стремиться к выручке не менее 1,2 млн ₽/мес.</w:t>
      </w:r>
    </w:p>
    <w:p>
      <w:pPr>
        <w:pStyle w:val="Heading1"/>
      </w:pPr>
      <w:r>
        <w:t>16. Окупаемость проекта</w:t>
      </w:r>
    </w:p>
    <w:p>
      <w:r>
        <w:t>При базовой чистой прибыли порядка 0,8–0,9 млн ₽ в месяц арифметическая окупаемость вложенных 12 млн ₽ после выхода на стабильную загрузку составляет примерно 13–15 месяцев. С учётом периода запуска, формирования клиентской базы и возможных простоев разумный инвестиционный горизонт — около 18–24 месяцев.</w:t>
      </w:r>
    </w:p>
    <w:p>
      <w:r>
        <w:t>Для инвестора не следует обещать фиксированную окупаемость до подтверждения первых контрактов. В инвестиционном предложении лучше использовать диапазон и привязать выплаты к фактической прибыли.</w:t>
      </w:r>
    </w:p>
    <w:p>
      <w:pPr>
        <w:pStyle w:val="Heading1"/>
      </w:pPr>
      <w:r>
        <w:t>17. План привлечения клиентов</w:t>
      </w:r>
    </w:p>
    <w:p>
      <w:pPr>
        <w:pStyle w:val="ListBullet"/>
      </w:pPr>
      <w:r>
        <w:t>Прямые коммерческие предложения нефтесервисным компаниям и владельцам буровых.</w:t>
      </w:r>
    </w:p>
    <w:p>
      <w:pPr>
        <w:pStyle w:val="ListBullet"/>
      </w:pPr>
      <w:r>
        <w:t>Переговоры с электромонтажными и генеральными подрядчиками о работе субподрядчиком.</w:t>
      </w:r>
    </w:p>
    <w:p>
      <w:pPr>
        <w:pStyle w:val="ListBullet"/>
      </w:pPr>
      <w:r>
        <w:t>Мониторинг закупок и тендеров Самарской и Оренбургской областей.</w:t>
      </w:r>
    </w:p>
    <w:p>
      <w:pPr>
        <w:pStyle w:val="ListBullet"/>
      </w:pPr>
      <w:r>
        <w:t>Выход на промышленные предприятия с предложением регулярного обслуживания.</w:t>
      </w:r>
    </w:p>
    <w:p>
      <w:pPr>
        <w:pStyle w:val="ListBullet"/>
      </w:pPr>
      <w:r>
        <w:t>Партнёрства с поставщиками электрооборудования и электромонтажными организациями.</w:t>
      </w:r>
    </w:p>
    <w:p>
      <w:pPr>
        <w:pStyle w:val="ListBullet"/>
      </w:pPr>
      <w:r>
        <w:t>Сайт, карты, отраслевые каталоги и адресная реклама.</w:t>
      </w:r>
    </w:p>
    <w:p>
      <w:pPr>
        <w:pStyle w:val="Heading1"/>
      </w:pPr>
      <w:r>
        <w:t>18. План запуска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Период</w:t>
            </w:r>
          </w:p>
        </w:tc>
        <w:tc>
          <w:tcPr>
            <w:tcW w:type="dxa" w:w="5112"/>
          </w:tcPr>
          <w:p>
            <w:r>
              <w:rPr>
                <w:b/>
              </w:rPr>
              <w:t>Действия</w:t>
            </w:r>
          </w:p>
        </w:tc>
      </w:tr>
      <w:tr>
        <w:tc>
          <w:tcPr>
            <w:tcW w:type="dxa" w:w="5112"/>
            <w:vAlign w:val="center"/>
          </w:tcPr>
          <w:p>
            <w:r>
              <w:t>0–1 месяц</w:t>
            </w:r>
          </w:p>
        </w:tc>
        <w:tc>
          <w:tcPr>
            <w:tcW w:type="dxa" w:w="5112"/>
            <w:vAlign w:val="center"/>
          </w:tcPr>
          <w:p>
            <w:r>
              <w:t>Инвестиционная сделка, ООО, заказ ЭТЛ-10, подготовка договоров и продаж</w:t>
            </w:r>
          </w:p>
        </w:tc>
      </w:tr>
      <w:tr>
        <w:tc>
          <w:tcPr>
            <w:tcW w:type="dxa" w:w="5112"/>
            <w:vAlign w:val="center"/>
          </w:tcPr>
          <w:p>
            <w:r>
              <w:t>1–3 месяц</w:t>
            </w:r>
          </w:p>
        </w:tc>
        <w:tc>
          <w:tcPr>
            <w:tcW w:type="dxa" w:w="5112"/>
            <w:vAlign w:val="center"/>
          </w:tcPr>
          <w:p>
            <w:r>
              <w:t>Подбор персонала, метрология, запуск сайта и активных продаж</w:t>
            </w:r>
          </w:p>
        </w:tc>
      </w:tr>
      <w:tr>
        <w:tc>
          <w:tcPr>
            <w:tcW w:type="dxa" w:w="5112"/>
            <w:vAlign w:val="center"/>
          </w:tcPr>
          <w:p>
            <w:r>
              <w:t>3–6 месяц</w:t>
            </w:r>
          </w:p>
        </w:tc>
        <w:tc>
          <w:tcPr>
            <w:tcW w:type="dxa" w:w="5112"/>
            <w:vAlign w:val="center"/>
          </w:tcPr>
          <w:p>
            <w:r>
              <w:t>Первые постоянные заказчики и субподряд</w:t>
            </w:r>
          </w:p>
        </w:tc>
      </w:tr>
      <w:tr>
        <w:tc>
          <w:tcPr>
            <w:tcW w:type="dxa" w:w="5112"/>
            <w:vAlign w:val="center"/>
          </w:tcPr>
          <w:p>
            <w:r>
              <w:t>6–12 месяц</w:t>
            </w:r>
          </w:p>
        </w:tc>
        <w:tc>
          <w:tcPr>
            <w:tcW w:type="dxa" w:w="5112"/>
            <w:vAlign w:val="center"/>
          </w:tcPr>
          <w:p>
            <w:r>
              <w:t>Увеличение загрузки, выход к 1,5–2,0 млн ₽/мес.</w:t>
            </w:r>
          </w:p>
        </w:tc>
      </w:tr>
      <w:tr>
        <w:tc>
          <w:tcPr>
            <w:tcW w:type="dxa" w:w="5112"/>
            <w:vAlign w:val="center"/>
          </w:tcPr>
          <w:p>
            <w:r>
              <w:t>12–24 месяц</w:t>
            </w:r>
          </w:p>
        </w:tc>
        <w:tc>
          <w:tcPr>
            <w:tcW w:type="dxa" w:w="5112"/>
            <w:vAlign w:val="center"/>
          </w:tcPr>
          <w:p>
            <w:r>
              <w:t>Крупные контракты, ПНР, развитие направления 35 кВ</w:t>
            </w:r>
          </w:p>
        </w:tc>
      </w:tr>
    </w:tbl>
    <w:p>
      <w:pPr>
        <w:pStyle w:val="Heading1"/>
      </w:pPr>
      <w:r>
        <w:t>19.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Риск</w:t>
            </w:r>
          </w:p>
        </w:tc>
        <w:tc>
          <w:tcPr>
            <w:tcW w:type="dxa" w:w="5112"/>
          </w:tcPr>
          <w:p>
            <w:r>
              <w:rPr>
                <w:b/>
              </w:rPr>
              <w:t>Меры</w:t>
            </w:r>
          </w:p>
        </w:tc>
      </w:tr>
      <w:tr>
        <w:tc>
          <w:tcPr>
            <w:tcW w:type="dxa" w:w="5112"/>
            <w:vAlign w:val="center"/>
          </w:tcPr>
          <w:p>
            <w:r>
              <w:t>Задержка поставки ЭТЛ</w:t>
            </w:r>
          </w:p>
        </w:tc>
        <w:tc>
          <w:tcPr>
            <w:tcW w:type="dxa" w:w="5112"/>
            <w:vAlign w:val="center"/>
          </w:tcPr>
          <w:p>
            <w:r>
              <w:t>Зафиксировать срок поставки и условия договора</w:t>
            </w:r>
          </w:p>
        </w:tc>
      </w:tr>
      <w:tr>
        <w:tc>
          <w:tcPr>
            <w:tcW w:type="dxa" w:w="5112"/>
            <w:vAlign w:val="center"/>
          </w:tcPr>
          <w:p>
            <w:r>
              <w:t>Изменение цены лаборатории</w:t>
            </w:r>
          </w:p>
        </w:tc>
        <w:tc>
          <w:tcPr>
            <w:tcW w:type="dxa" w:w="5112"/>
            <w:vAlign w:val="center"/>
          </w:tcPr>
          <w:p>
            <w:r>
              <w:t>Получить действующее КП и закрепить цену/условия</w:t>
            </w:r>
          </w:p>
        </w:tc>
      </w:tr>
      <w:tr>
        <w:tc>
          <w:tcPr>
            <w:tcW w:type="dxa" w:w="5112"/>
            <w:vAlign w:val="center"/>
          </w:tcPr>
          <w:p>
            <w:r>
              <w:t>Недостаток заказов</w:t>
            </w:r>
          </w:p>
        </w:tc>
        <w:tc>
          <w:tcPr>
            <w:tcW w:type="dxa" w:w="5112"/>
            <w:vAlign w:val="center"/>
          </w:tcPr>
          <w:p>
            <w:r>
              <w:t>Начать продажи до поставки лаборатории</w:t>
            </w:r>
          </w:p>
        </w:tc>
      </w:tr>
      <w:tr>
        <w:tc>
          <w:tcPr>
            <w:tcW w:type="dxa" w:w="5112"/>
            <w:vAlign w:val="center"/>
          </w:tcPr>
          <w:p>
            <w:r>
              <w:t>Простой</w:t>
            </w:r>
          </w:p>
        </w:tc>
        <w:tc>
          <w:tcPr>
            <w:tcW w:type="dxa" w:w="5112"/>
            <w:vAlign w:val="center"/>
          </w:tcPr>
          <w:p>
            <w:r>
              <w:t>Сочетать буровые, промышленность, ПНР и ТО</w:t>
            </w:r>
          </w:p>
        </w:tc>
      </w:tr>
      <w:tr>
        <w:tc>
          <w:tcPr>
            <w:tcW w:type="dxa" w:w="5112"/>
            <w:vAlign w:val="center"/>
          </w:tcPr>
          <w:p>
            <w:r>
              <w:t>Демпинг конкурентов</w:t>
            </w:r>
          </w:p>
        </w:tc>
        <w:tc>
          <w:tcPr>
            <w:tcW w:type="dxa" w:w="5112"/>
            <w:vAlign w:val="center"/>
          </w:tcPr>
          <w:p>
            <w:r>
              <w:t>Скорость выезда, мобильность, комплексная услуга</w:t>
            </w:r>
          </w:p>
        </w:tc>
      </w:tr>
      <w:tr>
        <w:tc>
          <w:tcPr>
            <w:tcW w:type="dxa" w:w="5112"/>
            <w:vAlign w:val="center"/>
          </w:tcPr>
          <w:p>
            <w:r>
              <w:t>Зависимость от одного клиента</w:t>
            </w:r>
          </w:p>
        </w:tc>
        <w:tc>
          <w:tcPr>
            <w:tcW w:type="dxa" w:w="5112"/>
            <w:vAlign w:val="center"/>
          </w:tcPr>
          <w:p>
            <w:r>
              <w:t>Ограничивать долю одного клиента</w:t>
            </w:r>
          </w:p>
        </w:tc>
      </w:tr>
      <w:tr>
        <w:tc>
          <w:tcPr>
            <w:tcW w:type="dxa" w:w="5112"/>
            <w:vAlign w:val="center"/>
          </w:tcPr>
          <w:p>
            <w:r>
              <w:t>Рост требований до 35 кВ</w:t>
            </w:r>
          </w:p>
        </w:tc>
        <w:tc>
          <w:tcPr>
            <w:tcW w:type="dxa" w:w="5112"/>
            <w:vAlign w:val="center"/>
          </w:tcPr>
          <w:p>
            <w:r>
              <w:t>Расширять оборудование и персонал только после подтверждения спроса</w:t>
            </w:r>
          </w:p>
        </w:tc>
      </w:tr>
    </w:tbl>
    <w:p>
      <w:pPr>
        <w:pStyle w:val="Heading1"/>
      </w:pPr>
      <w:r>
        <w:t>20. Предложение инвестору</w:t>
      </w:r>
    </w:p>
    <w:p>
      <w:r>
        <w:t>Запрашиваемая сумма — 12 000 000 ₽. Средства предназначены прежде всего для приобретения новой мобильной ЭТЛ-10 на полноприводном автомобиле. Такой актив позволяет начать работу сразу после подготовки организационной и кадровой базы.</w:t>
      </w:r>
    </w:p>
    <w:p>
      <w:r>
        <w:t>Инвестору предлагаются варианты структуры сделки: инвестиционный займ, доля в ООО, доля прибыли до возврата вложений или смешанная модель. Конкретный вариант должен быть определён после согласования срока возврата капитала, требуемой доходности и участия инвестора в управлении.</w:t>
      </w:r>
    </w:p>
    <w:p>
      <w:r>
        <w:t>Особенно интересен стратегический инвестор из Самарской или Оренбургской области, который может дополнительно помочь с выходом на нефтесервисные, буровые и промышленные компании.</w:t>
      </w:r>
    </w:p>
    <w:p>
      <w:pPr>
        <w:pStyle w:val="Heading1"/>
      </w:pPr>
      <w:r>
        <w:t>21. Инвестиционная логика</w:t>
      </w:r>
    </w:p>
    <w:p>
      <w:pPr>
        <w:pStyle w:val="ListBullet"/>
      </w:pPr>
      <w:r>
        <w:t>12 млн ₽ превращаются преимущественно в материальный производственный актив, а не расходуются только на маркетинг.</w:t>
      </w:r>
    </w:p>
    <w:p>
      <w:pPr>
        <w:pStyle w:val="ListBullet"/>
      </w:pPr>
      <w:r>
        <w:t>Основной актив — новая ЭТЛ-10 на полноприводном автомобиле.</w:t>
      </w:r>
    </w:p>
    <w:p>
      <w:pPr>
        <w:pStyle w:val="ListBullet"/>
      </w:pPr>
      <w:r>
        <w:t>Одна лаборатория способна обслуживать несколько заказчиков и регионов.</w:t>
      </w:r>
    </w:p>
    <w:p>
      <w:pPr>
        <w:pStyle w:val="ListBullet"/>
      </w:pPr>
      <w:r>
        <w:t>B2B-заказы могут быть как разовыми, так и повторными.</w:t>
      </w:r>
    </w:p>
    <w:p>
      <w:pPr>
        <w:pStyle w:val="ListBullet"/>
      </w:pPr>
      <w:r>
        <w:t>Потенциальная масштабируемость — вторая лаборатория и дополнительные бригады.</w:t>
      </w:r>
    </w:p>
    <w:p>
      <w:pPr>
        <w:pStyle w:val="ListBullet"/>
      </w:pPr>
      <w:r>
        <w:t>Расширение до 35 кВ способно увеличить средний чек, но должно осуществляться после подтверждения спроса и выполнения всех требований к работам.</w:t>
      </w:r>
    </w:p>
    <w:p>
      <w:pPr>
        <w:pStyle w:val="Heading1"/>
      </w:pPr>
      <w:r>
        <w:t>22. Что необходимо подтвердить до сделки</w:t>
      </w:r>
    </w:p>
    <w:p>
      <w:pPr>
        <w:pStyle w:val="ListBullet"/>
      </w:pPr>
      <w:r>
        <w:t>Актуальное коммерческое предложение ТЕХНО-АС на ЭТЛ-10 за 10 998 000 ₽ с НДС.</w:t>
      </w:r>
    </w:p>
    <w:p>
      <w:pPr>
        <w:pStyle w:val="ListBullet"/>
      </w:pPr>
      <w:r>
        <w:t>Точный состав оборудования и область выполняемых испытаний.</w:t>
      </w:r>
    </w:p>
    <w:p>
      <w:pPr>
        <w:pStyle w:val="ListBullet"/>
      </w:pPr>
      <w:r>
        <w:t>Срок изготовления и поставки.</w:t>
      </w:r>
    </w:p>
    <w:p>
      <w:pPr>
        <w:pStyle w:val="ListBullet"/>
      </w:pPr>
      <w:r>
        <w:t>Гарантийные условия и сервис.</w:t>
      </w:r>
    </w:p>
    <w:p>
      <w:pPr>
        <w:pStyle w:val="ListBullet"/>
      </w:pPr>
      <w:r>
        <w:t>Требования к персоналу и организационно-технической базе.</w:t>
      </w:r>
    </w:p>
    <w:p>
      <w:pPr>
        <w:pStyle w:val="ListBullet"/>
      </w:pPr>
      <w:r>
        <w:t>Налоговый режим ООО и влияние НДС на закупку и продажи.</w:t>
      </w:r>
    </w:p>
    <w:p>
      <w:pPr>
        <w:pStyle w:val="ListBullet"/>
      </w:pPr>
      <w:r>
        <w:t>Минимум 10–20 контактов потенциальных заказчиков и первые коммерческие предложения.</w:t>
      </w:r>
    </w:p>
    <w:p>
      <w:pPr>
        <w:pStyle w:val="ListBullet"/>
      </w:pPr>
      <w:r>
        <w:t>Фактические зарплаты, топливо, командировки, страховка, метрология и обслуживание автомобиля.</w:t>
      </w:r>
    </w:p>
    <w:p>
      <w:pPr>
        <w:pStyle w:val="Heading1"/>
      </w:pPr>
      <w:r>
        <w:t>23. Итог</w:t>
      </w:r>
    </w:p>
    <w:p>
      <w:r>
        <w:t>Проект предполагает запуск мобильной ЭТЛ-10 с инвестициями 12 млн ₽, где около 10,998 млн ₽ направляются на основной актив по ценовому ориентиру ТЕХНО-АС, а оставшаяся сумма — на оснащение, подготовку и оборотный резерв. Главная коммерческая стратегия — не ограничиваться отдельными электроизмерениями, а продавать комплекс: испытания + ПНР + техническое обслуживание + регулярные выезды.</w:t>
      </w:r>
    </w:p>
    <w:p>
      <w:r>
        <w:t>Ключевой фактор успеха — получение первых якорных заказчиков ещё на этапе поставки лаборатории. Без подтверждения спроса финансовые показатели остаются прогнозом; поэтому инвестору необходимо показать не только оборудование и расчёты, но и воронку потенциальных контрактов.</w:t>
      </w:r>
    </w:p>
    <w:p>
      <w:pPr>
        <w:pStyle w:val="Heading1"/>
      </w:pPr>
      <w:r>
        <w:t>24. Примечание по источнику цены</w:t>
      </w:r>
    </w:p>
    <w:p>
      <w:r>
        <w:t>Цена 10 998 000 ₽ с НДС для новой ЭТЛ-10 на полноприводном автомобиле использована в соответствии с указанным пользователем ориентиром предложения ТЕХНО-АС. Перед передачей бизнес-плана инвестору необходимо приложить актуальное коммерческое предложение/счёт поставщика. Если цена изменится, инвестиционный бюджет и финансовую модель следует пересчитать.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Бизнес-план: новая ЭТЛ-10 | инвестиции 12 млн ₽ | август 2026 г.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