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1"/>
          <w:numId w:val="1"/>
        </w:numPr>
        <w:spacing w:line="240" w:lineRule="auto"/>
        <w:ind w:left="70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Декларация основных финансовых показателей: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20" w:tblpY="22.265625"/>
        <w:tblW w:w="978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1"/>
        <w:gridCol w:w="2409"/>
        <w:gridCol w:w="2552"/>
        <w:tblGridChange w:id="0">
          <w:tblGrid>
            <w:gridCol w:w="4821"/>
            <w:gridCol w:w="2409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Информация о проекте</w:t>
            </w:r>
          </w:p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АВТОБОКС.МАРКЕТ (Проект компании ООО “АТК ЛОГИСТИК”)</w:t>
            </w:r>
          </w:p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Сайт:</w:t>
            </w:r>
          </w:p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hyperlink r:id="rId6">
              <w:r w:rsidDel="00000000" w:rsidR="00000000" w:rsidRPr="00000000">
                <w:rPr>
                  <w:rFonts w:ascii="Cambria" w:cs="Cambria" w:eastAsia="Cambria" w:hAnsi="Cambria"/>
                  <w:color w:val="0000ff"/>
                  <w:u w:val="single"/>
                  <w:rtl w:val="0"/>
                </w:rPr>
                <w:t xml:space="preserve">autobox.market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Платформа для международной торговли автомобилями, которая предлагает полный цикл услуг: от подбора и выкупа автомобилей за границей до их доставки в Россию. Главная цель проекта – предоставить клиентам высококачественные автомобили по конкурентоспособным ценам, а также обеспечить высокий уровень сервиса и поддержки на всех этапах сделки.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География</w:t>
            </w:r>
          </w:p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Россия (Санкт-Петербург, Екатеринбург, Владивосток), Южная Корея, Китай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Собственный капитал</w:t>
            </w:r>
          </w:p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Необходимая сумма инвестиций</w:t>
            </w:r>
          </w:p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13,3 млн. руб.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 что будут направлены инвестиции</w:t>
            </w:r>
          </w:p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 %%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 деньгах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(а) получение свидетельства таможенного представителя</w:t>
            </w:r>
          </w:p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9,8%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1,3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(б) формирование товарного остатка в Екатеринбурге (2-3 авто)</w:t>
            </w:r>
          </w:p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45,1%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(в) формирование оборотных средств на счетах в Гонконге для обеспечения моментальных платежей поставщикам и бронирования хорошие вариантов авто для клиентов</w:t>
            </w:r>
          </w:p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45,1%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highlight w:val="white"/>
                <w:rtl w:val="0"/>
              </w:rPr>
              <w:t xml:space="preserve">Средняя цена сделки</w:t>
            </w:r>
          </w:p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2,2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highlight w:val="white"/>
                <w:rtl w:val="0"/>
              </w:rPr>
              <w:t xml:space="preserve">Количество сделок</w:t>
            </w:r>
          </w:p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300 (плановое количество сделок в месяц на горизонте 1 год)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highlight w:val="white"/>
                <w:rtl w:val="0"/>
              </w:rPr>
              <w:t xml:space="preserve">Агентское вознаграждение</w:t>
            </w:r>
          </w:p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highlight w:val="white"/>
                <w:rtl w:val="0"/>
              </w:rPr>
              <w:t xml:space="preserve">Кросс-продажи</w:t>
            </w:r>
          </w:p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highlight w:val="white"/>
                <w:rtl w:val="0"/>
              </w:rPr>
              <w:t xml:space="preserve">Выручка </w:t>
            </w:r>
          </w:p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highlight w:val="white"/>
                <w:rtl w:val="0"/>
              </w:rPr>
              <w:t xml:space="preserve">720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Период инвестирования</w:t>
            </w:r>
          </w:p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 месяцев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Выход на точку безубыточности</w:t>
            </w:r>
          </w:p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 месяц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Выход на операционную прибыль </w:t>
            </w:r>
          </w:p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 месяца</w:t>
            </w:r>
          </w:p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Валовая прибыль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122,4 млн.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Рентабельность</w:t>
            </w:r>
          </w:p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17%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Чистая прибыль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83.4 млн.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Предложение для Инвестора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38%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Средневзвешенная стоимость капитала (WACC)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33.2%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Дисконтированный срок окупаемости с указанной ставкой дисконтирования (DPP)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 месяцев</w:t>
            </w:r>
          </w:p>
        </w:tc>
      </w:tr>
    </w:tbl>
    <w:p w:rsidR="00000000" w:rsidDel="00000000" w:rsidP="00000000" w:rsidRDefault="00000000" w:rsidRPr="00000000" w14:paraId="0000005F">
      <w:pPr>
        <w:spacing w:after="160" w:line="259" w:lineRule="auto"/>
        <w:rPr>
          <w:rFonts w:ascii="Cambria" w:cs="Cambria" w:eastAsia="Cambria" w:hAnsi="Cambri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utobox.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