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40" w:before="480" w:line="276" w:lineRule="auto"/>
        <w:jc w:val="center"/>
        <w:rPr>
          <w:rFonts w:ascii="Roboto" w:cs="Roboto" w:eastAsia="Roboto" w:hAnsi="Roboto"/>
          <w:b w:val="1"/>
          <w:bCs w:val="1"/>
        </w:rPr>
      </w:pPr>
      <w:bookmarkStart w:colFirst="0" w:colLast="0" w:name="_nkhyjk3ehmbu" w:id="0"/>
      <w:bookmarkEnd w:id="0"/>
      <w:r w:rsidDel="00000000" w:rsidR="00000000" w:rsidRPr="00000000">
        <w:rPr>
          <w:rFonts w:ascii="Roboto" w:cs="Roboto" w:eastAsia="Roboto" w:hAnsi="Roboto"/>
          <w:color w:val="0f1115"/>
          <w:sz w:val="34"/>
          <w:szCs w:val="34"/>
          <w:rtl w:val="0"/>
        </w:rPr>
        <w:t xml:space="preserve">План действий на первый год</w:t>
        <w:br w:type="textWrapping"/>
        <w:t xml:space="preserve">для родителей мальчиков с МДД</w:t>
        <w:br w:type="textWrapping"/>
      </w:r>
      <w:r w:rsidDel="00000000" w:rsidR="00000000" w:rsidRPr="00000000">
        <w:rPr>
          <w:rFonts w:ascii="Roboto" w:cs="Roboto" w:eastAsia="Roboto" w:hAnsi="Roboto"/>
          <w:b w:val="0"/>
          <w:bCs w:val="0"/>
          <w:color w:val="0f1115"/>
          <w:sz w:val="24"/>
          <w:szCs w:val="24"/>
          <w:rtl w:val="0"/>
        </w:rPr>
        <w:t xml:space="preserve">Возраст постановки диагноза: 0 — 3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Витамин D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Проверить у ребенка исходный уровень витамина D;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Получить консультацию эндокринолога в фонде «Гордей» по безопасной корректирующей дозе витамина D;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Давать рекомендованную эндокринологом корректирующую дозу витамина D, перепроверить уровень витамина D через 3 месяца;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Перепроверять у ребенка уровень витамина D каждые 6 месяцев.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Физическая терапия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 возможности начать водить ребенка на занятия в бассейн (обязательно теплый: 32-33 градуса), количество раз в неделю не ограничено.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или поделиться с тренером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роликами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по занятиям в бассейне фонда «Гордей»;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Приобрести или запросить в фонде «Гордей» уголок для растяжки ахиллова сухожилия – ребенок должен стоять на нем 3 раза в день по 10-15 минут, но выходим мы на этот уровень постепенно, ненасильственно и без боли.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Избегать массажей, силовых тренировок, не спешить с введением растяжек дома, не форсировать вертикализацию (не рекомендуется использовать ходунки, шлейку и пр.), оберегать ребенка от любых вмешательств с недоказанной эффективностью.</w:t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Вакцинация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школу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фонда «Гордей по вакцинации;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2.Обеспечить соблюдение графика вакцинации и введение ребенку всех вакцин по возрасту (в том числе – менингит, ветрянка, пневмония, грипп согласно НКП-2022) + вторая доза прививки от кори (обычно она делается в 6 лет, но при определенных обстоятельствах ее можно сделать через 6 месяцев после первой).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Чекап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Получить консультацию в фонде «Гордей» по выбору федерального центра в зависимости от возраста ребенка, сопутствующих особенностей здоровья и применимости препаратов современной генотерапии.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Госпитализироваться в выбранный федеральный центр и пройти комплексный чекап, получить федеральный консилиум на препарат современной генотерапии (если применимо).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Перед поездкой составить план исследований и вопросов, чтобы спросить и сделать все что нужно и ничего не забыть.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76" w:lineRule="auto"/>
        <w:ind w:left="0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Нейроразвитие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Каждый ребенок индивидуален, это так. Мальчики с МДД разные, как снежинки. При этом риск выявления РАС (расстройства аутистического спектра) у мальчиков с мышечной дистрофией в 10 раз выше, чем в среднем у детей. Поэтому рекомендуется следить за интеллектуальным и эмоциональным развитием ребенка. Для определения риска РАС можно использовать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опросник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М-CHAT-R для родителей.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Другая распространенная особенность – задержка речевого развития. Большинство мальчиков с МДД преодолевают ее и нагоняют сверстников, важно своевременно подключить логопеда.</w:t>
      </w:r>
    </w:p>
    <w:p w:rsidR="00000000" w:rsidDel="00000000" w:rsidP="00000000" w:rsidRDefault="00000000" w:rsidRPr="00000000" w14:paraId="00000016">
      <w:pPr>
        <w:spacing w:after="240" w:before="240" w:line="276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Наконец, каждый третий мальчик с МДД имеет интеллектуальные нарушения (чаще – легкие), за этим тоже нужно следить, но не прямо сейчас. Ваша задача – проконсультироваться с детским психиатром, если у вас есть сомнения/опасения/наблюдения и если у ребенка есть отставание в развитии или трудности с адаптацией.  Если вы по какой-то причине не можете сходить к детскому психиатру офлайн (предпочтительно), вы можете записаться на прием к детскому психиатру, который консультирует онлайн,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на сайте фонда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;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0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Здоровье мамы и возможность родить здорового ребенка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Маме ребенка нужно обязательно сдать генетический тест на носительство;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Посмотреть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вебинар 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по современным репродуктивным технологиям для родителей мальчиков с МДД.</w:t>
      </w:r>
    </w:p>
    <w:p w:rsidR="00000000" w:rsidDel="00000000" w:rsidP="00000000" w:rsidRDefault="00000000" w:rsidRPr="00000000" w14:paraId="0000001A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Сообщество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Познакомиться с координатором федерального округа и присоединиться к чату ФО;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Присоединиться к чату программы “Первый год с диагнозом”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Детский сад и ясли:</w:t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ab/>
      </w:r>
      <w:r w:rsidDel="00000000" w:rsidR="00000000" w:rsidRPr="00000000">
        <w:rPr>
          <w:rFonts w:ascii="Roboto" w:cs="Roboto" w:eastAsia="Roboto" w:hAnsi="Roboto"/>
          <w:rtl w:val="0"/>
        </w:rPr>
        <w:t xml:space="preserve">Постарайтесь не спешить с детским садом. Если это все же необходимо - поговорите с воспитателями об особенностях вашего мальчика и дайте им </w:t>
      </w:r>
      <w:r w:rsidDel="00000000" w:rsidR="00000000" w:rsidRPr="00000000">
        <w:rPr>
          <w:rFonts w:ascii="Roboto" w:cs="Roboto" w:eastAsia="Roboto" w:hAnsi="Roboto"/>
          <w:highlight w:val="red"/>
          <w:rtl w:val="0"/>
        </w:rPr>
        <w:t xml:space="preserve">памятку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Вместо напутствия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Мышечная дистрофия Дюшенна – сложный диагноз, который потребует от вас, родителей и родных, сил и эмоционального вовлечения в жизнь вашего ребенка. Скорее всего вам захочется немедленно приняться за растяжки, тутора, занятия в бассейне. Поэтому мы бы очень хотели напомнить вам: он просто малыш. Все, что от вас требуется до 3 лет, - любить, холить и лелеять. Наслаждаться каждым моментом. Не принуждать. Не ломать. И вам, и вашему сыну предстоит еще много обязательных вещей, не спешите с их введением. Если ребенок сопротивляется плавать, нет смысла настаивать: он не понимает ценности плавания. Зато после определенного возраста он за 2 занятия научится всему, за что вы сейчас будете биться месяцами. 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Не переживайте: вы ничего не упустите. А вот упустить чудесные младенческие годы за переживаниями и принуждениями очень легко.</w:t>
      </w:r>
    </w:p>
    <w:p w:rsidR="00000000" w:rsidDel="00000000" w:rsidP="00000000" w:rsidRDefault="00000000" w:rsidRPr="00000000" w14:paraId="00000023">
      <w:pPr>
        <w:spacing w:after="120" w:line="276" w:lineRule="auto"/>
        <w:rPr>
          <w:rFonts w:ascii="Roboto" w:cs="Roboto" w:eastAsia="Roboto" w:hAnsi="Roboto"/>
          <w:b w:val="1"/>
          <w:bCs w:val="1"/>
          <w:color w:val="0f1115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00" w:orient="portrait"/>
      <w:pgMar w:bottom="1133.8582677165355" w:top="1133.8582677165355" w:left="1133.8582677165355" w:right="1133.8582677165355" w:header="28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993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1076325</wp:posOffset>
              </wp:positionH>
              <wp:positionV relativeFrom="paragraph">
                <wp:posOffset>-28574</wp:posOffset>
              </wp:positionV>
              <wp:extent cx="2444115" cy="6896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28705" y="3439958"/>
                        <a:ext cx="2434590" cy="680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141.9999980926513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Благотворительный фонд развития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141.9999980926513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системной помощи пациентам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141.99999809265137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с миодистрофией Дюшенна «Гордей»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1076325</wp:posOffset>
              </wp:positionH>
              <wp:positionV relativeFrom="paragraph">
                <wp:posOffset>-28574</wp:posOffset>
              </wp:positionV>
              <wp:extent cx="2444115" cy="6896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44115" cy="689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3867150</wp:posOffset>
              </wp:positionH>
              <wp:positionV relativeFrom="paragraph">
                <wp:posOffset>-28574</wp:posOffset>
              </wp:positionV>
              <wp:extent cx="2667635" cy="88138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16945" y="3344073"/>
                        <a:ext cx="2658110" cy="871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ИНН/КПП: 7733355920/773301001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ОГРН: 1207700203061 от 15.06.2020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Адрес регистрации: 125310, г. Москва,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Пятницкое шоссе, дом 41, помещение 2/1.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3867150</wp:posOffset>
              </wp:positionH>
              <wp:positionV relativeFrom="paragraph">
                <wp:posOffset>-28574</wp:posOffset>
              </wp:positionV>
              <wp:extent cx="2667635" cy="88138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7635" cy="881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-323849</wp:posOffset>
          </wp:positionH>
          <wp:positionV relativeFrom="paragraph">
            <wp:posOffset>19050</wp:posOffset>
          </wp:positionV>
          <wp:extent cx="935990" cy="60325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5990" cy="603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851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vkvideo.ru/video-210393312_456239171" TargetMode="External"/><Relationship Id="rId9" Type="http://schemas.openxmlformats.org/officeDocument/2006/relationships/hyperlink" Target="https://gordeyfund.ru/psy" TargetMode="External"/><Relationship Id="rId5" Type="http://schemas.openxmlformats.org/officeDocument/2006/relationships/styles" Target="styles.xml"/><Relationship Id="rId6" Type="http://schemas.openxmlformats.org/officeDocument/2006/relationships/hyperlink" Target="https://vkvideo.ru/playlist/-210393312_4" TargetMode="External"/><Relationship Id="rId7" Type="http://schemas.openxmlformats.org/officeDocument/2006/relationships/hyperlink" Target="https://vkvideo.ru/video-210393312_456239092" TargetMode="External"/><Relationship Id="rId8" Type="http://schemas.openxmlformats.org/officeDocument/2006/relationships/hyperlink" Target="https://test.autism.hel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