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Программа онлайн - тренинга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line="235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highlight w:val="none"/>
        </w:rPr>
        <w:t xml:space="preserve">Мышечно-энергетические техники мануальной терапии</w:t>
      </w:r>
      <w:r>
        <w:rPr>
          <w:highlight w:val="none"/>
        </w:rPr>
        <w:br/>
        <w:t xml:space="preserve">_____________________________________________________________________________________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дата проведения: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20 марта 2024 года с 17.00 до 19.00 (МСК)</w:t>
      </w:r>
      <w:r/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shd w:val="nil" w:color="00000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tbl>
      <w:tblPr>
        <w:tblStyle w:val="96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ffffff" w:fill="ffffff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Пташкин Алексей Павлович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реабилитолог,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кинезиотерапевт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, мануальный терапевт, психолог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ind w:left="0" w:right="0" w:firstLine="0"/>
        <w:jc w:val="left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Москва, 2024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line="235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t xml:space="preserve">Познакомить участников с техниками по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t xml:space="preserve">улучшению здоровья, повышению функциональной активности и общего качества жизни.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это тренинг: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Всех стремящихся к активному и здоровому образу жизни, желающих научиться управлять собственн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ым телом и эмоциями.</w:t>
        <w:br/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Актуальность тренинга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 современном обществе обусловлена рядом факторов, которые отражают текущие тренды в области здравоохранения, благополучия и личностного роста: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1. Растущий интерес к натуральным методам оздоровления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последние годы наблюдается повышенный интерес к альтернативным и комплементарным методам лечения и оздоровления, которые предлагают естественные и безопасные способы улучшения здоровья без использования медикаментов.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2. Увеличение уровня стресса и психоэмоционального напряжения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Современный образ жизни характеризуется высокими уровнями стресса и психоэмоционального напряжения, что приводит к различным заболеваниям и ухудшению качества жизни. МЭТ предоставляют эффективные инструменты для управления стрессом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 улучшения эмоционального благополучия.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3. Проблемы, связанные с сидячим образом жизни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Огромное колич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ество людей ведет малоподвижный образ жизни, который способствует развитию заболеваний опорно-двигательного аппарата, включая боли в спине, нарушения осанки и снижение гибкости. МЭТ помогают улучшить осанку, укрепить мышцы и увеличить подвижность суставов.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4. Поиск методов саморазвития и самосовершенствования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современном мире люди стремятся не только к физическому, но и к духовному развитию. МЭТ способствуют гармонизации внутреннего состояния, развитию осознанности и самопознанию, что является ключевым аспектом личностного роста.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5. Необходимость в профилактике заболеваний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Профилактика заболеваний становится все более приоритетной в контексте современной медицины. МЭТ предоставляют эффективные средства для укрепления здоровья, повышения иммунитета и предотвращения развития многих заболеваний.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6. Интерес к интегративным методам лечения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Интеграция различных подходов в лечении и оздоровлении является важной тенденцией в современной медицине. МЭТ могут успешно комбинироваться с традиционными медицинскими методами, предлагая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х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олистический подход к восстановлению здоровья.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Все эти ф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акторы делают тренинг по МЭТ актуальным и востребованным среди широкого круга людей, стремящихся улучшить свое физическое и эмоциональное состояние, а также повысить качество своей жизни через естественные и гармоничные методы саморегуляции и оздоровления.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  <w:highlight w:val="none"/>
        </w:rPr>
        <w:t xml:space="preserve">Практическая значимость: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многоаспектна и охватывает различные стороны жизнедеятельности человека: от физического здоровья до психоэмоционального благополучия. Вот основные аспекты, подчеркивающие практическую значимость МЭТ: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960"/>
        <w:numPr>
          <w:ilvl w:val="0"/>
          <w:numId w:val="61"/>
        </w:num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Улучшение физического здоровья;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0"/>
        <w:numPr>
          <w:ilvl w:val="0"/>
          <w:numId w:val="61"/>
        </w:num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Повышение уровня энергии и работоспособности;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0"/>
        <w:numPr>
          <w:ilvl w:val="0"/>
          <w:numId w:val="61"/>
        </w:num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Улучшение психоэмоционального состояния;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0"/>
        <w:numPr>
          <w:ilvl w:val="0"/>
          <w:numId w:val="61"/>
        </w:num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Профилактика заболеваний;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0"/>
        <w:numPr>
          <w:ilvl w:val="0"/>
          <w:numId w:val="61"/>
        </w:numPr>
        <w:jc w:val="both"/>
        <w:spacing w:after="0" w:line="276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Развитие личностных качеств.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sz w:val="32"/>
          <w:szCs w:val="32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</w:p>
    <w:p>
      <w:pPr>
        <w:numPr>
          <w:ilvl w:val="1"/>
          <w:numId w:val="5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5085" cy="4104231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6909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735085" cy="4104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72;o:allowoverlap:true;o:allowincell:true;mso-position-horizontal-relative:text;margin-left:0.00pt;mso-position-horizontal:absolute;mso-position-vertical-relative:text;margin-top:0.00pt;mso-position-vertical:absolute;width:215.36pt;height:323.17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Реабилитолог, кинезиотерапевт,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мануальный терапевт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психолог,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960"/>
        <w:numPr>
          <w:ilvl w:val="0"/>
          <w:numId w:val="56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Создатель метода «Динамическая реабилитация»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960"/>
        <w:numPr>
          <w:ilvl w:val="0"/>
          <w:numId w:val="56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Специалист по ЛФК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960"/>
        <w:numPr>
          <w:ilvl w:val="0"/>
          <w:numId w:val="56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МС по боксу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960"/>
        <w:numPr>
          <w:ilvl w:val="0"/>
          <w:numId w:val="56"/>
        </w:numPr>
        <w:jc w:val="left"/>
        <w:spacing w:line="276" w:lineRule="auto"/>
        <w:rPr>
          <w:rFonts w:ascii="Ubuntu" w:hAnsi="Ubuntu" w:cs="Ubuntu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КМС по самбо</w:t>
      </w:r>
      <w:r>
        <w:rPr>
          <w:rFonts w:ascii="Ubuntu" w:hAnsi="Ubuntu" w:cs="Ubuntu"/>
          <w:sz w:val="28"/>
          <w:szCs w:val="28"/>
          <w:lang w:val="ru-RU"/>
        </w:rPr>
      </w:r>
      <w:r>
        <w:rPr>
          <w:rFonts w:ascii="Ubuntu" w:hAnsi="Ubuntu" w:cs="Ubuntu"/>
          <w:sz w:val="28"/>
          <w:szCs w:val="28"/>
          <w:lang w:val="ru-RU"/>
        </w:rPr>
      </w:r>
    </w:p>
    <w:p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right"/>
        <w:spacing w:line="276" w:lineRule="auto"/>
        <w:rPr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7722755</w:t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  <w:lang w:val="en-US"/>
        </w:rPr>
        <w:t xml:space="preserve">@mail.ru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+7</w:t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 962 9966290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Cs/>
          <w:i/>
          <w:sz w:val="32"/>
          <w:szCs w:val="32"/>
        </w:rPr>
      </w:pPr>
      <w:r>
        <w:rPr>
          <w:rFonts w:ascii="Times New Roman" w:hAnsi="Times New Roman" w:eastAsia="Times New Roman"/>
          <w:bCs/>
          <w:i/>
          <w:iCs/>
          <w:sz w:val="32"/>
          <w:szCs w:val="32"/>
          <w:highlight w:val="none"/>
        </w:rPr>
      </w:r>
      <w:r>
        <w:rPr>
          <w:rFonts w:ascii="Times New Roman" w:hAnsi="Times New Roman" w:eastAsia="Times New Roman"/>
          <w:bCs/>
          <w:i/>
          <w:sz w:val="32"/>
          <w:szCs w:val="32"/>
        </w:rPr>
      </w:r>
      <w:r>
        <w:rPr>
          <w:rFonts w:ascii="Times New Roman" w:hAnsi="Times New Roman" w:eastAsia="Times New Roman"/>
          <w:bCs/>
          <w:i/>
          <w:sz w:val="32"/>
          <w:szCs w:val="32"/>
        </w:rPr>
      </w:r>
    </w:p>
    <w:p>
      <w:pPr>
        <w:jc w:val="center"/>
        <w:shd w:val="nil" w:color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sz w:val="32"/>
          <w:szCs w:val="32"/>
          <w:highlight w:val="none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  <w:t xml:space="preserve">Раздел 2. СОДЕРЖАНИЕ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t xml:space="preserve">Тайминг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960"/>
        <w:numPr>
          <w:ilvl w:val="0"/>
          <w:numId w:val="60"/>
        </w:num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Введение в МЭТ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~ 10м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ин.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60"/>
        <w:numPr>
          <w:ilvl w:val="0"/>
          <w:numId w:val="60"/>
        </w:num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Основы миологии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~ 25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мин.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Виды мышц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Строение мышц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Функция мышц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Особенности кровоснабжения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Иннервация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Рецепторный аппарат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Фасции, виды фасции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7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Футляры фасций.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Основы визуальной и мануальной диагностики/тестов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~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мин.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60"/>
        <w:numPr>
          <w:ilvl w:val="0"/>
          <w:numId w:val="58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Определение объёма движений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8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Критерии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миофасциальной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боли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8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Понятие о триггерной точке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8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Виды триггерных точек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8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Пальпация триггерных точек.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Мышечно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– энергетические техники (МЭТ)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~ 50мин.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Общие сведения о МЭТ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Понятие о барьере, виды барьеров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Постизометрическая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релаксация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Постизотоническая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релаксация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Постреципрокная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релаксация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Постноцицептивная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релаксация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Ишемическая компрессия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Медитация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60"/>
        <w:numPr>
          <w:ilvl w:val="0"/>
          <w:numId w:val="59"/>
        </w:numPr>
        <w:jc w:val="both"/>
        <w:spacing w:after="0" w:line="276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Аутотренинг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firstLine="0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</w:rPr>
        <w:t xml:space="preserve">5.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Подведение итогов тренинга.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Обратная связь и ответы на вопросы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участников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~ 10мин.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hd w:val="nil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right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Приложение</w:t>
      </w:r>
      <w:r/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Постизометрическая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(ПИР) является одной из методик в рамках мышечно-энергетических техник, направленных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на устранение мышечного напряжения и восстановление нормальной функции мышц. Этот метод основан на чередовании напряжения и последующей релаксации конкретной мышечной группы, что способствует снижению тонуса и улучшению кровообращения в пораженной области.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действия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постизометрической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 основывается на использовании изометрических упражнений, когда мышца напрягается без изменения ее длины. Пациент сначал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а напрягает определенную мышечную группу, удерживая напряжение в течение нескольких секунд, после чего следует глубокое расслабление этой же мышечной группы. Этот процесс способствует рефлекторному уменьшению мышечного тонуса и улучшению эластичности мышц.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ПИР широко используется для лечения и профилактики различных состояний, включая хронические мышечные спазмы, боли в спине, шее, плечевом поясе и других областях. Эта методика также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применяется для улучшения подвижности суставов, коррекции осанки и уменьшения болевых ощущений.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Преимущества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Эффективность: ПИР эффективно устраняет мышечное напряжение и способствует быстрому восстановлению после физических нагрузок.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Безопасность: Метод является безопасным, так как не включает резких движений или чрезмерного давления на ткани.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Простота: ПИР может быть выполнена с минимальным оборудованием и подходит для людей различного возраста и уровня физической подготовки.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Техника выполнения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Выбор целевой мышечной группы.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Напряжение этой мышечной группы без движения в суставе (изометрическое напряжение) на протяжении 5-10 секунд.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Активное расслабление мышцы после напряжения.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Повторение упражнения, если необходимо, для улучшения эффекта.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ПИР часто включается в комплексную программу лечения и может комбинироваться с другими методиками физиотерапии, массажем и упражнениями на растяжку для достижения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наилучших результатов. Применение этой техники должно осуществляться под руководством квалифицированного специалиста, способного правильно определить необходимые для лечения мышечные группы и адаптировать упражнения к индивидуальным потребностям пациента.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Постизотоническая</w:t>
      </w:r>
      <w:r>
        <w:rPr>
          <w:rFonts w:ascii="Times New Roman" w:hAnsi="Times New Roman" w:eastAsia="Times New Roman"/>
          <w:b/>
          <w:sz w:val="32"/>
          <w:szCs w:val="32"/>
        </w:rPr>
        <w:t xml:space="preserve"> релаксация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Постизотоническая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(ПИР) представляет собой еще одну методику в рамках мышечно-энергетических техник, целью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которой является снижение мышечного напряжения и улучшение функционального состояния мышц. Хотя терминологически она может путаться с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постизометрической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релаксацией, основное отличие заключается в типе сокращения мышцы во время упражнения.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действия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Постизотоническая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базируется на активных сокращениях мышцы с последующим ее расслаблением. В отличие от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постизометрической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релаксации, где используются изометрические сокращения (мышца напрягается без изменения ее длины), в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постизотонической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 мышца сокращается с изменением ее длины (изотоническое сокращение), что подразумевает выполнение движения.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Эта методика эффективна при лече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нии мышечных спазмов, устранении боли, увеличении амплитуды движений в суставах и восстановлении после травм. Она используется в реабилитации после спортивных и бытовых травм, для коррекции осанки и при различных заболеваниях опорно-двигательного аппарата.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Преимущества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Универсальность: ПИР подходит для работы с различными мышечными группами и может быть адаптирована под конкретные потребности и состояние пациента.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Нежность метода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Несмотря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на активное участие пациента, методика относительно нежная и имеет меньший риск травмирования, чем некоторые другие виды мануальной терапии.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Комплексное воздействие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Помимо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снижения напряжения в мышцах, методика способствует улучшению кровообращения и лимфотока, что ускоряет процессы восстановления.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Техника выполнения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Изначально выбирается целевая мышечная группа.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Пациент выполняет контролируемое и мягкое сокращение этой мышцы, проводя ее через полный диапазон движения.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После активного сокращения следует период расслабления, позволяющий мышце полностью расслабиться.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Упражнение может повторяться несколько раз для достижения максимального эффекта.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Подобно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постизометрической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релаксации,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постизотоническая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требует профе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ссионального подхода для определения необходимых упражнений и адаптации программы под индивидуальные особенности пациента. Включение ПИР в комплексную программу лечения и реабилитации способствует ускорению восстановления и повышению эффективности терапии.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/>
      <w:bookmarkStart w:id="1" w:name="_Hlk157971397"/>
      <w:r>
        <w:rPr>
          <w:rFonts w:ascii="Times New Roman" w:hAnsi="Times New Roman" w:eastAsia="Times New Roman"/>
          <w:b/>
          <w:sz w:val="32"/>
          <w:szCs w:val="32"/>
        </w:rPr>
        <w:t xml:space="preserve">Постреципрокная</w:t>
      </w:r>
      <w:r>
        <w:rPr>
          <w:rFonts w:ascii="Times New Roman" w:hAnsi="Times New Roman" w:eastAsia="Times New Roman"/>
          <w:b/>
          <w:sz w:val="32"/>
          <w:szCs w:val="32"/>
        </w:rPr>
        <w:t xml:space="preserve"> релаксация</w:t>
      </w:r>
      <w:bookmarkEnd w:id="1"/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Методика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постреципрокной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 представляет собой еще один подход в рамках мышечно-энергетических техник,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нацеленный на снижение мышечного напряжения и улучшение функционального состояния мышц. Этот метод основан на принципе реципрокного торможения, согласно которому активация одной группы мышц приводит к релаксации противоположной группы мышц. Таким образом,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постреципрокная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использует естественные физиологические механизмы тела для достижения глубокого расслабления мышечных волокон.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действия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Основой методики является физиологический принцип реципрокного ингибирования, который гласит,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что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когда мышца активно сокращается, ее антагонист (противоположная мышца, выполняющая противоположное движение) автоматически расслабляется. В контексте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постреципрокной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релаксации, этот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процесс используется для снижения напряжения в целевых мышечных группах.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Методика эффективно применяется для лечения спазмов, устранения боли, улучшения д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иапазона движений в суставах, а также в реабилитации после травм и операций. Она находит применение в спортивной медицине, неврологии, ортопедии и во многих других областях, где необходимо восстановить нормальное функционирование мышечно-скелетной системы.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Преимущества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Глубокое расслабление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Позволяет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достичь глубокого расслабления в мышцах, снижая риск травм и способствуя быстрому восстановлению.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Универсальность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Может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быть использована для различных мышечных групп, обеспечивая широкий спектр применения.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Безопасность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Является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безопасной методикой, минимизирующей риск перенапряжения или травмы мышц.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Техника выполнения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Определение целевой мышечной группы и ее антагонистов.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Активное сокращение антагонистических мышц на протяжении нескольких секунд.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Сосредоточение на достижении расслабления в целевой мышечной группе во время активации ее антагонистов.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Повторение упражнения может усилить эффект релаксации.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Постреципрокная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требует точного понимания анатомии и физиологии мышечной системы для корректного выбор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а антагонистических мышц и эффективного применения методики. Рекомендуется проводить упражнения под руководством квалифицированного специалиста, который может настроить программу лечения в соответствии с индивидуальными потребностями и состоянием пациента.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Постноцицептивная</w:t>
      </w:r>
      <w:r>
        <w:rPr>
          <w:rFonts w:ascii="Times New Roman" w:hAnsi="Times New Roman" w:eastAsia="Times New Roman"/>
          <w:b/>
          <w:sz w:val="32"/>
          <w:szCs w:val="32"/>
        </w:rPr>
        <w:t xml:space="preserve"> релаксация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Постноцицептивная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является методикой в рамках мышечно-энергетических техник, направленной на снижение мышечного напряжения и улучшение функции мышц и суставов через механизмы рефлекторного расслабления после кратковременного повышенного напряжения или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ноцицептивного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(болевого) стимула. Этот метод использует естественные реакции организма на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ноцицептивные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воздействия для активации расслабления мышц, улучшения кровообращения и снятия боли.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действия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Постноцицептивная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основана на принципе, согласно которому после краткосрочного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ноцицептивного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воздействия (воздействия, вызывающего ощущение боли или дискомфорта) на определенную мышцу или группу мышц следу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ет их рефлекторное расслабление. Такое воздействие может быть вызвано специфическими мануальными техниками, например, кратковременным увеличением давления на мышцу или сустав, что провоцирует мгновенную реакцию организма в виде уменьшения мышечного тонуса.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Методика широко используется для лечения мышечны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х спазмов, устранения болевых синдромов, улучшения подвижности суставов и общего состояния опорно-двигательного аппарата. Она особенно эффективна при хронических болях, зажимах и ограничении движений в суставах, вызванных мышечным дисбалансом или травмами.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Преимущества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Быстрое снижение боли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Эффективно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и быстро снижает ощущение боли за счет рефлекторного расслабления мышц.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Улучшение подвижности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Способствует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восстановлению нормального диапазона движений в суставах.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Универсальность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Может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применяться к различным частям тела и быть адаптирована под конкретные потребности пациента.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Техника выполнения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Определение целевой области для воздействия.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 кратковременного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ноцицептивного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стимула к этой области под контролем специалиста, чтобы избежать повреждения тканей.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Наблюдение за рефлекторным расслаблением мышцы или группы мышц после воздействия.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Постноцицептивная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релаксация требует высокой квалификации и понимания анатомии и физиологии со стороны терапевта, а также тщательного контроля за силой и продолжительностью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ноцицептивного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воздействия. Рекомендуется проведение процедуры в условиях, обеспечивающих безопасность и комфорт пациента, а также адаптация методики с учетом индивидуальных особенностей и реакций организма.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Ишемическая компрессия.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Ишемическая компрессия является ещё одной методикой в рамках мышечно-энергетических техник, целью которой является устранение болевых синдромов, спазмов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и улучшение кровообращения в пораженных областях тела. Этот метод включает в себя приложение умеренного давления к определенным точкам на теле, обычно называемым триггерными точками, которые являются участками повышенной чувствительности и могут вызывать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отдаленную болезненность или рефлекторные реакции в других частях тела.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Принцип действия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Ишемическая компрессия работает, создавая локальное снижение кровотока в об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ласти давления, что приводит к временной ишемии (ограничению кровоснабжения). Когда давление снимается, происходит резкое увеличение местного кровотока, что способствует разгрузке токсинов, уменьшению мышечного спазма и стимуляции процессов восстановления.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Методика ишемической компрессии часто используется для лечения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миофасциального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болевого синдрома, хронических мышечных болей, спазмов и для разработки триггерных точек. Она также применяется в комплексном подходе к лечению головных болей, болей в спине и шее, а также при других состояниях, связанных с нарушением мышечного тонуса.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Преимущества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Целенаправленность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Позволяет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точечно работать с проблемными областями, оказывая глубокое воздействие на триггерные точки.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Универсальность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Может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применяться почти к любой части тела, где обнаружены триггерные точки или мышечные спазмы.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Эффективность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Способствует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быстрому снятию боли и восстановлению нормального состояния мышц.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Техника выполнения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Выявление триггерной точки или области повышенного мышечного напряжения.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Приложение умеренного давления непосредственно на эту точку или область с помощью пальца, ладони или специализированного инструмента.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Поддержание давления на протяжении определенного времени (обычно от нескольких секунд до нескольких минут), пока не произойдет ощутимое уменьшение боли или напряжения.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Постепенное снятие давления, позволяя области «пробудиться» и кровообращению восстановиться.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Ишемическая компрессия требует глубоких знаний в анато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мии и понимания механизмов боли, чтобы быть эффективной и безопасной. Рекомендуется, чтобы процедуры проводились квалифицированными специалистами, которые могут адекватно оценить состояние пациента и адаптировать методику к его индивидуальным потребностям.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Медитация как одна из техник МЭТ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В рамках мышечно-энергетических техник (МЭТ) медитация используется как один из ключевых инструментов для достижения глубокого расслабления, снижения уровня стресса, улучшения эмоционального состояния и восстановления энергетического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баланса. Медитативные практики в МЭТ могут включать различные методы, направленные на умственное и физическое расслабление, а также на развитие осознанности и внутренней гармонии. Вот некоторые из методов медитации, которые могут применяться в рамках МЭТ: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1. Дыхательные медитации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Эти медитации фокусируют внимание на дыхании, помогая участник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ам стать более осознанными относительно каждого вдоха и выдоха. Дыхательные техники могут включать упражнения на глубокое дыхание, диафрагмальное дыхание или практику "полного дыхания", которые способствуют уменьшению физического и психического напряжения.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2. Осознанность (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Mindfulness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)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Медитация на осознанность направлена на нахожден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ие в текущем моменте и наблюдение за своими мыслями, чувствами и ощущениями без оценки. Эта практика учит принимать свое внутреннее состояние без критики и сопротивления, способствуя тем самым глубокому расслаблению и улучшению эмоционального благополучия.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3. Визуализация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Медита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ция с визуализацией включает создание ментальных образов, которые способствуют расслаблению и восстановлению. Участники могут представлять себе спокойные и умиротворяющие сцены, такие как пляж, лес или горы, что помогает достичь состояния покоя и гармонии.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4. Медитация на чакры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Этот метод включает фокусировку внимания на различных энергетических центрах тела (чакрах), что способствует гармонизации энергетического потока и восстановлению энергетического баланса в организме.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5. Мантра-медитация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Практика повторения мантр (сакральных звуков или фраз) способствует концентрации ума, уменьшению внутреннего диалога и достижению глубокого состояния медитативного покоя.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6. Ходьба-медитация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Медитация в движении, такая как ходьба с полной осознанностью, помогает развивать внимание к текущему моменту и ощущениям в теле, улучшая при этом физическое состояние и способствуя расслаблению.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sz w:val="32"/>
          <w:szCs w:val="32"/>
          <w:highlight w:val="none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Медитативные практики в рамках МЭТ направлены на достижение целостности и гармонии между телом, умом и духом, обеспечивая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глубокое расслабление и способствуя самоисцелению. Регулярное применение этих методов может значительно улучшить качество жизни, снизить уровень стресса и увеличить эмоциональную устойчивость.</w:t>
      </w:r>
      <w:r>
        <w:rPr>
          <w:rFonts w:ascii="Times New Roman" w:hAnsi="Times New Roman" w:eastAsia="Times New Roman"/>
          <w:sz w:val="32"/>
          <w:szCs w:val="32"/>
          <w:highlight w:val="none"/>
        </w:rPr>
      </w:r>
      <w:r>
        <w:rPr>
          <w:rFonts w:ascii="Times New Roman" w:hAnsi="Times New Roman" w:eastAsia="Times New Roman"/>
          <w:sz w:val="32"/>
          <w:szCs w:val="32"/>
          <w:highlight w:val="none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Аутотренинг как одна из техник МЭТ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Аутотренинг в рамках мы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шечно-энергетических техник (МЭТ) представляет собой метод саморегуляции, направленный на достижение глубокого психофизического расслабления и улучшение общего состояния организма через самовнушение и сознательное управление физиологическими процессами. Эт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а методика основывается на принципах классического аутогенного тренинга, разработанного немецким психиатром Иоганном Шульцем, и адаптирована для интеграции в практику МЭТ с целью достижения оптимального баланса между физическим и эмоциональным состояниями.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Основные принципы аутотренинга в МЭТ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Релаксация и самовнушение: Аутотренинг начинается с достижения состояния глубокого расслабления через дыхательные упражнения и визуализацию, после чего следует процесс самовнушения, направленный на улучшение физического и психологического самочувствия.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Концентрация на внутренних ощущениях: Участники учатся фокусироваться на внутренних ощущениях, таких как тепло, тяжесть в конечностях или расслабление мышц, что способствует уменьшению мышечного напряжения и улучшению кровообращения.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Управление физиологическими процессами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: Через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 самовнушение практикующие научаются контролировать такие физиологические процессы, как сердечный ритм, дыхание, кровяное давление, что помогает в снижении стресса, улучшении сна и повышении общего уровня здоровья.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Позитивное самовнушение: Применение положительных утверждений и мантр для улучшения самооценки, укрепления воли и мотивации к достижению целей, а также для снятия психоэмоционального напряжения.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Применение аутотренинга в МЭТ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Аутотренинг может быть полезен для людей, страдающих от стресса, 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ангста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, хронических боле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й, нарушений сна, а также для тех, кто работает на улучшение своей концентрации, самоконтроля и эмоционального благополучия. Эта методика также применяется в спортивной психологии для повышения уровня физической выносливости и ментальной сосредоточенности.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Практика аутотренинга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Аутотренинг обычно включает в себя регулярные сессии, во время которых участники занимаются в комфортной, расслабляющей обстановке, часто с закрытыми глазами, чт</w:t>
      </w:r>
      <w:r>
        <w:rPr>
          <w:rFonts w:ascii="Times New Roman" w:hAnsi="Times New Roman" w:eastAsia="Times New Roman"/>
          <w:bCs/>
          <w:sz w:val="32"/>
          <w:szCs w:val="32"/>
        </w:rPr>
        <w:t xml:space="preserve">обы максимально сконцентрироваться на внутренних ощущениях и самовнушении. Сеансы могут проводиться как индивидуально, так и в группах, под руководством опытного инструктора, который помогает направлять процесс и обучает эффективным техникам саморегуляции.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p>
      <w:pPr>
        <w:spacing w:after="0" w:line="276" w:lineRule="auto"/>
        <w:tabs>
          <w:tab w:val="left" w:pos="2316" w:leader="none"/>
        </w:tabs>
        <w:rPr>
          <w:rFonts w:ascii="Times New Roman" w:hAnsi="Times New Roman" w:eastAsia="Times New Roman"/>
          <w:bCs/>
          <w:sz w:val="32"/>
          <w:szCs w:val="32"/>
        </w:rPr>
      </w:pPr>
      <w:r>
        <w:rPr>
          <w:rFonts w:ascii="Times New Roman" w:hAnsi="Times New Roman" w:eastAsia="Times New Roman"/>
          <w:bCs/>
          <w:sz w:val="32"/>
          <w:szCs w:val="32"/>
        </w:rPr>
        <w:t xml:space="preserve">Включение аутотренинга в комплекс МЭТ позволяет углубить понимание и управление собственным телом и разумом, усиливая эффекты других мышечно-энергетических практик и способствуя общему улучшению здоровья и благополучия.</w:t>
      </w:r>
      <w:r>
        <w:rPr>
          <w:rFonts w:ascii="Times New Roman" w:hAnsi="Times New Roman" w:eastAsia="Times New Roman"/>
          <w:bCs/>
          <w:sz w:val="32"/>
          <w:szCs w:val="32"/>
        </w:rPr>
      </w:r>
      <w:r>
        <w:rPr>
          <w:rFonts w:ascii="Times New Roman" w:hAnsi="Times New Roman" w:eastAsia="Times New Roman"/>
          <w:bCs/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50"/>
  </w:num>
  <w:num w:numId="4">
    <w:abstractNumId w:val="22"/>
  </w:num>
  <w:num w:numId="5">
    <w:abstractNumId w:val="1"/>
  </w:num>
  <w:num w:numId="6">
    <w:abstractNumId w:val="32"/>
  </w:num>
  <w:num w:numId="7">
    <w:abstractNumId w:val="0"/>
  </w:num>
  <w:num w:numId="8">
    <w:abstractNumId w:val="26"/>
  </w:num>
  <w:num w:numId="9">
    <w:abstractNumId w:val="44"/>
  </w:num>
  <w:num w:numId="10">
    <w:abstractNumId w:val="15"/>
  </w:num>
  <w:num w:numId="11">
    <w:abstractNumId w:val="9"/>
  </w:num>
  <w:num w:numId="12">
    <w:abstractNumId w:val="31"/>
  </w:num>
  <w:num w:numId="13">
    <w:abstractNumId w:val="53"/>
  </w:num>
  <w:num w:numId="14">
    <w:abstractNumId w:val="45"/>
  </w:num>
  <w:num w:numId="15">
    <w:abstractNumId w:val="24"/>
  </w:num>
  <w:num w:numId="16">
    <w:abstractNumId w:val="2"/>
  </w:num>
  <w:num w:numId="17">
    <w:abstractNumId w:val="5"/>
  </w:num>
  <w:num w:numId="18">
    <w:abstractNumId w:val="49"/>
  </w:num>
  <w:num w:numId="19">
    <w:abstractNumId w:val="28"/>
  </w:num>
  <w:num w:numId="20">
    <w:abstractNumId w:val="23"/>
  </w:num>
  <w:num w:numId="21">
    <w:abstractNumId w:val="21"/>
  </w:num>
  <w:num w:numId="22">
    <w:abstractNumId w:val="48"/>
  </w:num>
  <w:num w:numId="23">
    <w:abstractNumId w:val="42"/>
  </w:num>
  <w:num w:numId="24">
    <w:abstractNumId w:val="27"/>
  </w:num>
  <w:num w:numId="25">
    <w:abstractNumId w:val="13"/>
  </w:num>
  <w:num w:numId="26">
    <w:abstractNumId w:val="14"/>
  </w:num>
  <w:num w:numId="27">
    <w:abstractNumId w:val="12"/>
  </w:num>
  <w:num w:numId="28">
    <w:abstractNumId w:val="7"/>
  </w:num>
  <w:num w:numId="29">
    <w:abstractNumId w:val="41"/>
  </w:num>
  <w:num w:numId="30">
    <w:abstractNumId w:val="51"/>
  </w:num>
  <w:num w:numId="31">
    <w:abstractNumId w:val="39"/>
  </w:num>
  <w:num w:numId="32">
    <w:abstractNumId w:val="11"/>
  </w:num>
  <w:num w:numId="33">
    <w:abstractNumId w:val="10"/>
  </w:num>
  <w:num w:numId="34">
    <w:abstractNumId w:val="33"/>
  </w:num>
  <w:num w:numId="35">
    <w:abstractNumId w:val="37"/>
  </w:num>
  <w:num w:numId="36">
    <w:abstractNumId w:val="38"/>
  </w:num>
  <w:num w:numId="37">
    <w:abstractNumId w:val="3"/>
  </w:num>
  <w:num w:numId="38">
    <w:abstractNumId w:val="19"/>
  </w:num>
  <w:num w:numId="39">
    <w:abstractNumId w:val="6"/>
  </w:num>
  <w:num w:numId="40">
    <w:abstractNumId w:val="40"/>
  </w:num>
  <w:num w:numId="41">
    <w:abstractNumId w:val="35"/>
  </w:num>
  <w:num w:numId="42">
    <w:abstractNumId w:val="34"/>
  </w:num>
  <w:num w:numId="43">
    <w:abstractNumId w:val="30"/>
  </w:num>
  <w:num w:numId="44">
    <w:abstractNumId w:val="43"/>
  </w:num>
  <w:num w:numId="45">
    <w:abstractNumId w:val="8"/>
  </w:num>
  <w:num w:numId="46">
    <w:abstractNumId w:val="52"/>
  </w:num>
  <w:num w:numId="47">
    <w:abstractNumId w:val="29"/>
  </w:num>
  <w:num w:numId="48">
    <w:abstractNumId w:val="46"/>
  </w:num>
  <w:num w:numId="49">
    <w:abstractNumId w:val="16"/>
  </w:num>
  <w:num w:numId="50">
    <w:abstractNumId w:val="36"/>
  </w:num>
  <w:num w:numId="51">
    <w:abstractNumId w:val="20"/>
  </w:num>
  <w:num w:numId="52">
    <w:abstractNumId w:val="18"/>
  </w:num>
  <w:num w:numId="53">
    <w:abstractNumId w:val="25"/>
  </w:num>
  <w:num w:numId="54">
    <w:abstractNumId w:val="4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0"/>
    <w:next w:val="950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basedOn w:val="954"/>
    <w:link w:val="776"/>
    <w:uiPriority w:val="9"/>
    <w:rPr>
      <w:rFonts w:ascii="Arial" w:hAnsi="Arial" w:eastAsia="Arial" w:cs="Arial"/>
      <w:sz w:val="40"/>
      <w:szCs w:val="40"/>
    </w:rPr>
  </w:style>
  <w:style w:type="character" w:styleId="778">
    <w:name w:val="Heading 2 Char"/>
    <w:basedOn w:val="954"/>
    <w:link w:val="951"/>
    <w:uiPriority w:val="9"/>
    <w:rPr>
      <w:rFonts w:ascii="Arial" w:hAnsi="Arial" w:eastAsia="Arial" w:cs="Arial"/>
      <w:sz w:val="34"/>
    </w:rPr>
  </w:style>
  <w:style w:type="character" w:styleId="779">
    <w:name w:val="Heading 3 Char"/>
    <w:basedOn w:val="954"/>
    <w:link w:val="952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54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54"/>
    <w:link w:val="953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50"/>
    <w:next w:val="950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54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50"/>
    <w:next w:val="950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54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50"/>
    <w:next w:val="950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54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50"/>
    <w:next w:val="950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54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basedOn w:val="954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basedOn w:val="954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basedOn w:val="954"/>
    <w:link w:val="800"/>
    <w:uiPriority w:val="99"/>
  </w:style>
  <w:style w:type="paragraph" w:styleId="802">
    <w:name w:val="Footer"/>
    <w:basedOn w:val="95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basedOn w:val="954"/>
    <w:link w:val="802"/>
    <w:uiPriority w:val="99"/>
  </w:style>
  <w:style w:type="paragraph" w:styleId="804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802"/>
    <w:uiPriority w:val="99"/>
  </w:style>
  <w:style w:type="table" w:styleId="806">
    <w:name w:val="Table Grid"/>
    <w:basedOn w:val="9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4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4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rPr>
      <w:rFonts w:ascii="Calibri" w:hAnsi="Calibri" w:eastAsia="Calibri" w:cs="Times New Roman"/>
      <w:lang w:eastAsia="ru-RU"/>
    </w:rPr>
  </w:style>
  <w:style w:type="paragraph" w:styleId="951">
    <w:name w:val="Heading 2"/>
    <w:basedOn w:val="950"/>
    <w:next w:val="950"/>
    <w:link w:val="957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52">
    <w:name w:val="Heading 3"/>
    <w:basedOn w:val="950"/>
    <w:next w:val="950"/>
    <w:link w:val="95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53">
    <w:name w:val="Heading 5"/>
    <w:basedOn w:val="950"/>
    <w:next w:val="950"/>
    <w:link w:val="95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character" w:styleId="957" w:customStyle="1">
    <w:name w:val="Заголовок 2 Знак"/>
    <w:basedOn w:val="954"/>
    <w:link w:val="951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58" w:customStyle="1">
    <w:name w:val="Заголовок 3 Знак"/>
    <w:basedOn w:val="954"/>
    <w:link w:val="952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59" w:customStyle="1">
    <w:name w:val="Заголовок 5 Знак"/>
    <w:basedOn w:val="954"/>
    <w:link w:val="953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60">
    <w:name w:val="List Paragraph"/>
    <w:basedOn w:val="950"/>
    <w:uiPriority w:val="34"/>
    <w:qFormat/>
    <w:pPr>
      <w:contextualSpacing/>
      <w:ind w:left="720"/>
    </w:pPr>
  </w:style>
  <w:style w:type="paragraph" w:styleId="961">
    <w:name w:val="Normal (Web)"/>
    <w:basedOn w:val="9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62" w:customStyle="1">
    <w:name w:val="StGen01"/>
    <w:basedOn w:val="955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63">
    <w:name w:val="Body Text 2"/>
    <w:basedOn w:val="950"/>
    <w:link w:val="964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64" w:customStyle="1">
    <w:name w:val="Основной текст 2 Знак"/>
    <w:basedOn w:val="954"/>
    <w:link w:val="96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table" w:styleId="965" w:customStyle="1">
    <w:name w:val="StGen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8</cp:revision>
  <dcterms:created xsi:type="dcterms:W3CDTF">2024-02-04T17:56:00Z</dcterms:created>
  <dcterms:modified xsi:type="dcterms:W3CDTF">2024-02-05T15:54:44Z</dcterms:modified>
</cp:coreProperties>
</file>