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PartName="/word/document.xml" ContentType="application/vnd.openxmlformats-officedocument.wordprocessingml.document.main+xml"/>
  <Override PartName="/word/stylesWithEffects.xml" ContentType="application/vnd.ms-word.stylesWithEffect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media/image-eb45ae86-1ffb-400b-ba4b-661ab66d4fe1.jpeg" ContentType="image/jpeg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?><Relationships xmlns="http://schemas.openxmlformats.org/package/2006/relationships"><Relationship Id="rId1" Target="word/document.xml" Type="http://schemas.openxmlformats.org/officeDocument/2006/relationships/officeDocument"/><Relationship Id="rId3" Target="docProps/core.xml" Type="http://schemas.openxmlformats.org/package/2006/relationships/metadata/core-properties"/><Relationship Id="rId2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vyd="http://volga.yandex.com/schemas/document/model" xmlns:r="http://schemas.openxmlformats.org/officeDocument/2006/relationships" xmlns:wp="http://schemas.openxmlformats.org/drawingml/2006/wordprocessingDrawing" xmlns:w14="http://schemas.microsoft.com/office/word/2010/wordml" xmlns:w15="http://schemas.microsoft.com/office/word/2012/wordml" xmlns:x14="http://schemas.microsoft.com/office/spreadsheetml/2009/9/main" xmlns:unk2="http://ncloudtech.com/ooxml" xmlns:mc="http://schemas.openxmlformats.org/markup-compatibility/2006" xmlns:unk1="http://ncloudtech.com" xmlns:a="http://schemas.openxmlformats.org/drawingml/2006/main" xmlns:pic="http://schemas.openxmlformats.org/drawingml/2006/picture" mc:Ignorable="vyd unk1 unk2 w14 x14 w15" w:conformance="transitional">
  <w:background/>
  <w:body vyd:_id="vyd:00000000000001">
    <w:p w14:paraId="01000000" vyd:_id="vyd:000000000000h9">
      <w:pPr>
        <w:spacing w:after="0" w:lineRule="auto" w:line="276" w:before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32"/>
          <w:b w:val="1"/>
        </w:rPr>
        <w:t vyd:_id="vyd:mv0ogtzgydbaeo">Программа онлайн-тренинга</w:t>
      </w:r>
    </w:p>
    <w:p w14:paraId="01000000" vyd:_id="vyd:mv0ogtzfhlf5g4">
      <w:pPr>
        <w:spacing w:after="0" w:lineRule="auto" w:line="276" w:before="0"/>
      </w:pPr>
    </w:p>
    <w:p w14:paraId="01000000" vyd:_id="vyd:mv0ogtze7uobwo">
      <w:pPr>
        <w:spacing w:after="0" w:lineRule="auto" w:line="276" w:before="0"/>
      </w:pPr>
    </w:p>
    <w:p w14:paraId="01000000" vyd:_id="vyd:mv0ogtzcg5rbc5">
      <w:pPr>
        <w:spacing w:after="0" w:lineRule="auto" w:line="276" w:before="0"/>
        <w:rPr>
          <w:shd w:val="clear" w:fill="ffff00"/>
        </w:rPr>
      </w:pPr>
    </w:p>
    <w:p w14:paraId="01000000" vyd:_id="vyd:mv0ogtzbp0hyzm">
      <w:pPr>
        <w:spacing w:after="0" w:lineRule="auto" w:line="276" w:before="0"/>
        <w:jc w:val="center"/>
        <w:rPr>
          <w:rFonts w:ascii="Times New Roman" w:hAnsi="Times New Roman" w:eastAsia="Times New Roman" w:cs="Times New Roman"/>
          <w:sz w:val="32"/>
          <w:b w:val="1"/>
        </w:rPr>
      </w:pPr>
      <w:r>
        <w:rPr>
          <w:rFonts w:ascii="Times New Roman" w:hAnsi="Times New Roman" w:eastAsia="Times New Roman" w:cs="Times New Roman"/>
          <w:sz w:val="32"/>
          <w:b w:val="1"/>
        </w:rPr>
        <w:t vyd:_id="vyd:mv0wf1j7gvqpov">Ребёнок говорит невнятно? Что важно знать о речевой готовности к школе</w:t>
      </w:r>
    </w:p>
    <w:p w14:paraId="01000000" vyd:_id="vyd:mv0ogtz0t6ei4m">
      <w:pPr>
        <w:spacing w:after="0" w:lineRule="auto" w:line="276" w:before="0"/>
        <w:jc w:val="center"/>
      </w:pPr>
    </w:p>
    <w:p w14:paraId="01000000" vyd:_id="vyd:mv0ogtyy98xftb">
      <w:pPr>
        <w:spacing w:after="0" w:lineRule="auto" w:line="240" w:before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30"/>
          <w:color w:val="FF0000"/>
          <w:b w:val="1"/>
          <w:i w:val="1"/>
        </w:rPr>
        <w:t vyd:_id="vyd:mv0ogtyxkosrx1">дата проведения:</w:t>
      </w:r>
    </w:p>
    <w:p w14:paraId="01000000" vyd:_id="vyd:mv0ogtywfre23x">
      <w:pPr>
        <w:spacing w:after="0" w:lineRule="auto" w:line="240" w:before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30"/>
          <w:color w:val="FF0000"/>
          <w:b w:val="1"/>
          <w:i w:val="1"/>
        </w:rPr>
        <w:t vyd:_id="vyd:mv0oiyf2kuoret">14</w:t>
      </w:r>
      <w:r>
        <w:rPr>
          <w:rFonts w:ascii="Times New Roman" w:hAnsi="Times New Roman" w:eastAsia="Times New Roman" w:cs="Times New Roman"/>
          <w:sz w:val="30"/>
          <w:color w:val="FF0000"/>
          <w:b w:val="1"/>
          <w:i w:val="1"/>
        </w:rPr>
        <w:t vyd:_id="vyd:mv0ogtyu7zfg3c" xml:space="preserve"> октября 2026 года с 17.00 до 18.30 (МСК)</w:t>
      </w:r>
    </w:p>
    <w:p w14:paraId="01000000" vyd:_id="vyd:mv0ogtyt01dcqy">
      <w:pPr>
        <w:spacing w:after="0" w:lineRule="auto" w:line="240" w:before="0"/>
        <w:jc w:val="center"/>
      </w:pPr>
    </w:p>
    <w:p w14:paraId="01000000" vyd:_id="vyd:mv0ogtyrd6j8in">
      <w:pPr>
        <w:spacing w:after="0" w:lineRule="auto" w:line="240" w:before="0"/>
        <w:jc w:val="center"/>
      </w:pPr>
    </w:p>
    <w:p w14:paraId="01000000" vyd:_id="vyd:mv0ogtyqbytsud">
      <w:pPr>
        <w:spacing w:after="0" w:lineRule="auto" w:line="240" w:before="0"/>
        <w:jc w:val="center"/>
      </w:pPr>
    </w:p>
    <w:p w14:paraId="01000000" vyd:_id="vyd:mv0ogtyp9v2syx">
      <w:pPr>
        <w:spacing w:after="160" w:lineRule="auto" w:line="259.001" w:before="0"/>
      </w:pPr>
    </w:p>
    <w:p w14:paraId="01000000" vyd:_id="vyd:mv0ogtyoceduvd">
      <w:pPr>
        <w:spacing w:after="160" w:lineRule="auto" w:line="259.001" w:before="0"/>
      </w:pPr>
    </w:p>
    <w:p w14:paraId="01000000" vyd:_id="vyd:mv0ogtymc0q6j8">
      <w:pPr>
        <w:spacing w:after="160" w:lineRule="auto" w:line="259.001" w:before="0"/>
      </w:pPr>
    </w:p>
    <w:p w14:paraId="01000000" vyd:_id="vyd:mv0ogtylys3vqj">
      <w:pPr>
        <w:spacing w:after="160" w:lineRule="auto" w:line="259.001" w:before="0"/>
      </w:pPr>
    </w:p>
    <w:p w14:paraId="01000000" vyd:_id="vyd:mv0ogtyk9iri6y">
      <w:pPr>
        <w:spacing w:after="160" w:lineRule="auto" w:line="259.001" w:before="0"/>
      </w:pPr>
    </w:p>
    <w:p w14:paraId="01000000" vyd:_id="vyd:mv0ogtyjcd02vb">
      <w:pPr>
        <w:spacing w:after="160" w:lineRule="auto" w:line="259.001" w:before="0"/>
      </w:pPr>
    </w:p>
    <w:p w14:paraId="01000000" vyd:_id="vyd:mv0ogtyhc833lw">
      <w:pPr>
        <w:spacing w:after="160" w:lineRule="auto" w:line="259.001" w:before="0"/>
        <w:rPr>
          <w:rFonts w:ascii="Times New Roman" w:hAnsi="Times New Roman"/>
          <w:sz w:val="26"/>
          <w:color w:val="000000"/>
          <w:b w:val="1"/>
          <w:i w:val="0"/>
        </w:rPr>
      </w:pPr>
    </w:p>
    <w:tbl vyd:_id="vyd:mv0ogtxzb07jof">
      <w:tblPr>
        <w:tblStyle w:val="Style_98"/>
        <w:tblW w:w="9355.005" w:type="dxa"/>
        <w:tblBorders>
          <w:top w:val="single" w:color="FFFFFF" w:sz="4"/>
          <w:left w:val="single" w:color="FFFFFF" w:sz="4"/>
          <w:bottom w:val="single" w:color="FFFFFF" w:sz="4"/>
          <w:right w:val="single" w:color="FFFFFF" w:sz="4"/>
          <w:insideH w:val="single" w:color="FFFFFF" w:sz="4"/>
          <w:insideV w:val="single" w:color="FFFFFF" w:sz="4"/>
        </w:tblBorders>
        <w:tblLayout w:type="fixed"/>
      </w:tblPr>
      <w:tblGrid>
        <w:gridCol w:w="4341"/>
        <w:gridCol w:w="5014.005"/>
      </w:tblGrid>
      <w:tr vyd:_id="vyd:mv0ogty0ifjq8e">
        <w:tc vyd:_id="vyd:mv0ogty3t1goai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v0ogty3tkp14t">
            <w:pPr>
              <w:spacing w:after="0" w:lineRule="auto" w:line="276" w:before="0"/>
            </w:pPr>
            <w:r>
              <w:t vyd:_id="vyd:mv0ogty3jc05bh" xml:space="preserve"> </w:t>
            </w:r>
          </w:p>
        </w:tc>
        <w:tc vyd:_id="vyd:mv0ogty0kcdhv3">
          <w:tcPr>
            <w:tcBorders/>
            <w:tcMar>
              <w:top w:w="60" w:type="dxa"/>
              <w:start w:w="60" w:type="dxa"/>
              <w:bottom w:w="60" w:type="dxa"/>
              <w:end w:w="60" w:type="dxa"/>
            </w:tcMar>
          </w:tcPr>
          <w:p vyd:_id="vyd:mv0ogty250yjgw">
            <w:pPr>
              <w:spacing w:after="0" w:lineRule="auto" w:line="273" w:before="0"/>
            </w:pPr>
            <w:r>
              <w:t vyd:_id="vyd:mv0ogty30jrwiw" xml:space="preserve"> </w:t>
            </w:r>
            <w:r>
              <w:rPr>
                <w:rFonts w:ascii="Times New Roman" w:hAnsi="Times New Roman" w:eastAsia="Times New Roman" w:cs="Times New Roman"/>
                <w:sz w:val="30"/>
                <w:color w:val="000000"/>
                <w:b w:val="1"/>
              </w:rPr>
              <w:t vyd:_id="vyd:mv0ogty2bf7wpo">Спикер:</w:t>
            </w:r>
          </w:p>
          <w:p vyd:_id="vyd:mv0ogty1bylxv1">
            <w:pPr>
              <w:spacing w:after="0" w:lineRule="auto" w:line="273" w:before="0"/>
              <w:rPr>
                <w:rFonts w:ascii="Times New Roman" w:hAnsi="Times New Roman" w:eastAsia="Times New Roman" w:cs="Times New Roman"/>
                <w:sz w:val="28"/>
                <w:b w:val="1"/>
              </w:rPr>
            </w:pPr>
            <w:r>
              <w:rPr>
                <w:rFonts w:ascii="Times New Roman" w:hAnsi="Times New Roman" w:eastAsia="Times New Roman" w:cs="Times New Roman"/>
                <w:sz w:val="28"/>
                <w:b w:val="1"/>
              </w:rPr>
              <w:t vyd:_id="vyd:mv0osqg1ul99yh">Насонова Мария Алексеевна</w:t>
            </w:r>
            <w:r>
              <w:rPr>
                <w:rFonts w:ascii="Times New Roman" w:hAnsi="Times New Roman" w:eastAsia="Times New Roman" w:cs="Times New Roman"/>
                <w:sz w:val="28"/>
                <w:b w:val="1"/>
              </w:rPr>
              <w:t vyd:_id="vyd:mv0ogty291fqlc">,</w:t>
            </w:r>
          </w:p>
          <w:p vyd:_id="vyd:mv0ogty0iwgc6n">
            <w:pPr>
              <w:spacing w:after="0" w:lineRule="auto" w:line="273" w:before="0"/>
            </w:pPr>
            <w:r>
              <w:rPr>
                <w:rFonts w:ascii="Times New Roman" w:hAnsi="Times New Roman" w:eastAsia="Times New Roman" w:cs="Times New Roman"/>
                <w:sz w:val="28"/>
              </w:rPr>
              <w:t vyd:_id="vyd:mv0osuq9f7daps">логопед</w:t>
            </w:r>
            <w:r>
              <w:t vyd:_id="vyd:mv0osuq5gce3rn"/>
            </w:r>
          </w:p>
        </w:tc>
      </w:tr>
    </w:tbl>
    <w:p w14:paraId="01000000" vyd:_id="vyd:mv0ogty5q31beg">
      <w:pPr>
        <w:spacing w:after="0" w:lineRule="auto" w:line="276" w:before="0"/>
        <w:rPr>
          <w:rFonts w:ascii="Times New Roman" w:hAnsi="Times New Roman"/>
          <w:sz w:val="26"/>
          <w:color w:val="000000"/>
          <w:b w:val="1"/>
          <w:i w:val="0"/>
        </w:rPr>
      </w:pPr>
    </w:p>
    <w:p w14:paraId="01000000" vyd:_id="vyd:mv0ogtxyn1n8dd">
      <w:pPr>
        <w:spacing w:after="0" w:lineRule="auto" w:line="276" w:before="0"/>
        <w:jc w:val="center"/>
      </w:pPr>
    </w:p>
    <w:p w14:paraId="01000000" vyd:_id="vyd:mv0ogtxwc3fc50">
      <w:pPr>
        <w:spacing w:after="0" w:lineRule="auto" w:line="276" w:before="0"/>
        <w:jc w:val="center"/>
      </w:pPr>
    </w:p>
    <w:p w14:paraId="01000000" vyd:_id="vyd:mv0ogtxva3nqcw">
      <w:pPr>
        <w:spacing w:after="0" w:lineRule="auto" w:line="276" w:before="0"/>
        <w:jc w:val="center"/>
      </w:pPr>
    </w:p>
    <w:p w14:paraId="01000000" vyd:_id="vyd:mv0ogtxtkrqm2b">
      <w:pPr>
        <w:spacing w:after="0" w:lineRule="auto" w:line="276" w:before="0"/>
        <w:jc w:val="center"/>
      </w:pPr>
    </w:p>
    <w:p w14:paraId="01000000" vyd:_id="vyd:mv0ogtxscbiiok">
      <w:pPr>
        <w:spacing w:after="0" w:lineRule="auto" w:line="276" w:before="0"/>
        <w:jc w:val="center"/>
      </w:pPr>
    </w:p>
    <w:p w14:paraId="01000000" vyd:_id="vyd:mv0ogtxqr0x3wc">
      <w:pPr>
        <w:spacing w:after="0" w:lineRule="auto" w:line="276" w:before="0"/>
        <w:jc w:val="center"/>
      </w:pPr>
    </w:p>
    <w:p w14:paraId="01000000" vyd:_id="vyd:mv0ogtxpx1o1ui">
      <w:pPr>
        <w:spacing w:after="0" w:lineRule="auto" w:line="276" w:before="0"/>
      </w:pPr>
    </w:p>
    <w:p w14:paraId="01000000" vyd:_id="vyd:mv0ogtxow7jj6i">
      <w:pPr>
        <w:spacing w:after="0" w:lineRule="auto" w:line="276" w:before="0"/>
      </w:pPr>
    </w:p>
    <w:p w14:paraId="01000000" vyd:_id="vyd:mv0ogtxmivjuyf">
      <w:pPr>
        <w:spacing w:after="0" w:lineRule="auto" w:line="276" w:before="0"/>
        <w:jc w:val="center"/>
        <w:rPr>
          <w:rFonts w:ascii="Calibri" w:hAnsi="Calibri" w:eastAsia="Calibri" w:cs="Calibri"/>
          <w:sz w:val="22"/>
        </w:rPr>
      </w:pPr>
      <w:r>
        <w:rPr>
          <w:rFonts w:ascii="Times New Roman" w:hAnsi="Times New Roman" w:eastAsia="Times New Roman" w:cs="Times New Roman"/>
          <w:sz w:val="28"/>
        </w:rPr>
        <w:t vyd:_id="vyd:mv0ogtxln817jw">Москва, 2026</w:t>
      </w:r>
    </w:p>
    <w:p w14:paraId="01000000" vyd:_id="vyd:mv0ogtxh0fy073">
      <w:pPr>
        <w:rPr>
          <w:rFonts w:ascii="Times New Roman" w:hAnsi="Times New Roman"/>
        </w:rPr>
      </w:pPr>
      <w:r>
        <w:rPr>
          <w:rFonts w:ascii="Calibri" w:hAnsi="Calibri" w:eastAsia="Calibri" w:cs="Calibri"/>
          <w:sz w:val="22"/>
        </w:rPr>
        <w:br w:type="page" vyd:_id="vyd:mv0ogtxgpw2uop"/>
      </w:r>
    </w:p>
    <w:p w14:paraId="03000000" vyd:_id="vyd:000000000000h7">
      <w:pPr>
        <w:pStyle w:val="Style_2"/>
        <w:keepNext w:val="1"/>
        <w:spacing w:after="80" w:before="220"/>
        <w:ind/>
        <w:jc w:val="start"/>
        <w:rPr>
          <w:rFonts w:ascii="Times New Roman" w:hAnsi="Times New Roman" w:eastAsia="Times New Roman" w:cs="Times New Roman"/>
          <w:sz w:val="28"/>
          <w:b w:val="1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000000000000gf">Раздел 1. ОБЩАЯ ХАРАКТЕРИСТИКА ТРЕНИНГА</w:t>
      </w:r>
    </w:p>
    <w:p w14:paraId="12000000" vyd:_id="vyd:000000000000gb">
      <w:pPr>
        <w:keepLines w:val="0"/>
        <w:widowControl w:val="1"/>
        <w:spacing w:after="100" w:before="0" w:line="259" w:lineRule="auto"/>
        <w:ind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000000000000gd">Цель:</w:t>
      </w:r>
      <w:r>
        <w:rPr>
          <w:rFonts w:ascii="Times New Roman" w:hAnsi="Times New Roman" w:eastAsia="Times New Roman" w:cs="Times New Roman"/>
          <w:sz w:val="28"/>
          <w:b w:val="1"/>
        </w:rPr>
        <w:t vyd:_id="vyd:000000000000gc" xml:space="preserve"> </w:t>
      </w:r>
      <w:r>
        <w:rPr>
          <w:rFonts w:ascii="Times New Roman" w:hAnsi="Times New Roman" w:eastAsia="Times New Roman" w:cs="Times New Roman"/>
          <w:sz w:val="28"/>
        </w:rPr>
        <w:t vyd:_id="vyd:mv0oye48f71h62">помочь родителям и специалистам отличать распространённые мифы о речи дошкольника от наблюдаемых признаков речевой готовности к школе и освоить способы поддержки речи в повседневном общении. За 90 минут участники научатся оценивать ситуацию без ярлыков, выбирать посильный следующий шаг и понимать, когда домашних практик недостаточно.</w:t>
      </w:r>
    </w:p>
    <w:p w14:paraId="13000000" vyd:_id="vyd:000000000000g8">
      <w:pPr>
        <w:keepLines w:val="0"/>
        <w:widowControl w:val="1"/>
        <w:spacing w:after="100" w:before="0" w:line="259" w:lineRule="auto"/>
        <w:ind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000000000000ga">Для кого тренинг:</w:t>
      </w:r>
      <w:r>
        <w:rPr>
          <w:rFonts w:ascii="Times New Roman" w:hAnsi="Times New Roman" w:eastAsia="Times New Roman" w:cs="Times New Roman"/>
          <w:sz w:val="28"/>
        </w:rPr>
        <w:t vyd:_id="vyd:000000000000g9" xml:space="preserve"> родители и другие близкие взрослые детей 4–7 лет; воспитатели дошкольных групп; педагоги дополнительного образования и специалисты, сопровождающие семьи дошкольников.</w:t>
      </w:r>
    </w:p>
    <w:p w14:paraId="14000000" vyd:_id="vyd:000000000000g5">
      <w:pPr>
        <w:keepLines w:val="0"/>
        <w:widowControl w:val="1"/>
        <w:spacing w:after="100" w:before="0" w:line="259" w:lineRule="auto"/>
        <w:ind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000000000000g7">Актуальность темы тренинга:</w:t>
      </w:r>
      <w:r>
        <w:rPr>
          <w:rFonts w:ascii="Times New Roman" w:hAnsi="Times New Roman" w:eastAsia="Times New Roman" w:cs="Times New Roman"/>
          <w:sz w:val="28"/>
        </w:rPr>
        <w:t vyd:_id="vyd:000000000000g6" xml:space="preserve"> подготовку к школе часто сводят к умению читать, писать печатными буквами и правильно произносить все звуки. При этом речевая готовность шире: ребёнку важно понимать обращённую речь и инструкции, формулировать мысли, поддерживать диалог, рассказывать о событиях, объяснять последовательность действий и замечать звуковую сторону слова.</w:t>
      </w:r>
    </w:p>
    <w:p w14:paraId="15000000" vyd:_id="vyd:000000000000g3">
      <w:pPr>
        <w:keepLines w:val="0"/>
        <w:spacing w:after="100" w:before="0" w:line="259" w:lineRule="auto"/>
        <w:ind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b w:val="1"/>
          <w:i w:val="1"/>
        </w:rPr>
        <w:t vyd:_id="vyd:000000000000g0">Практическая значимость:</w:t>
      </w:r>
      <w:r>
        <w:rPr>
          <w:rFonts w:ascii="Times New Roman" w:hAnsi="Times New Roman" w:eastAsia="Times New Roman" w:cs="Times New Roman"/>
          <w:sz w:val="28"/>
        </w:rPr>
        <w:t vyd:_id="vyd:000000000000fz" xml:space="preserve">  тренинг поможет взрослым наблюдать речь ребёнка в естественных ситуациях, поддерживать инициативу, включать речевые задачи в чтение и повседневные дела</w:t>
      </w:r>
      <w:r>
        <w:rPr>
          <w:rFonts w:ascii="Times New Roman" w:hAnsi="Times New Roman" w:eastAsia="Times New Roman" w:cs="Times New Roman"/>
          <w:sz w:val="28"/>
        </w:rPr>
        <w:t vyd:_id="vyd:mv6e1ftspa76pt">. Это позволит точнее выбирать домашние практики, видеть динамику и своевременно обращаться к логопеду, врачу или специалисту по слуху, если трудности устойчивы либо затрагивают несколько сторон коммуникации.</w:t>
      </w:r>
    </w:p>
    <w:p w14:paraId="18000000" vyd:_id="vyd:000000000000fv">
      <w:pPr>
        <w:keepLines w:val="0"/>
        <w:widowControl w:val="1"/>
        <w:spacing w:after="100" w:before="0" w:line="259" w:lineRule="auto"/>
        <w:ind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  <w:b w:val="1"/>
          <w:i w:val="1"/>
        </w:rPr>
        <w:t vyd:_id="vyd:000000000000fx">Что необходимо приготовить к тренингу:</w:t>
      </w:r>
      <w:r>
        <w:rPr>
          <w:rFonts w:ascii="Times New Roman" w:hAnsi="Times New Roman" w:eastAsia="Times New Roman" w:cs="Times New Roman"/>
          <w:sz w:val="28"/>
        </w:rPr>
        <w:t vyd:_id="vyd:000000000000fw" xml:space="preserve"> бумагу, ручку и внимательное, доброжелательное отношение к его речи.</w:t>
      </w:r>
    </w:p>
    <w:p w14:paraId="19000000" vyd:_id="vyd:000000000000ft">
      <w:pPr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br w:type="page" vyd:_id="vyd:000000000000fu"/>
      </w:r>
    </w:p>
    <w:p w14:paraId="1A000000" vyd:_id="vyd:000000000000fr">
      <w:pPr>
        <w:widowControl w:val="1"/>
        <w:spacing w:after="0" w:before="160"/>
        <w:ind/>
        <w:jc w:val="center"/>
        <w:rPr>
          <w:rFonts w:ascii="Times New Roman" w:hAnsi="Times New Roman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s">1.1. Представление спикера тренинга</w:t>
      </w:r>
    </w:p>
    <w:p w14:paraId="1B000000" vyd:_id="vyd:000000000000fp">
      <w:pPr>
        <w:rPr>
          <w:rFonts w:ascii="Times New Roman" w:hAnsi="Times New Roman" w:eastAsia="Times New Roman" w:cs="Times New Roman"/>
          <w:sz w:val="28"/>
        </w:rPr>
      </w:pPr>
    </w:p>
    <w:p w14:paraId="1B000000" vyd:_id="vyd:mv0p3bo7th2hsu">
      <w:pPr>
        <w:rPr>
          <w:rFonts w:ascii="Times New Roman" w:hAnsi="Times New Roman" w:eastAsia="Times New Roman" w:cs="Times New Roman"/>
          <w:sz w:val="28"/>
          <w:b w:val="1"/>
        </w:rPr>
      </w:pPr>
      <w:r>
        <w:rPr>
          <w:rFonts w:ascii="Times New Roman" w:hAnsi="Times New Roman" w:eastAsia="Times New Roman" w:cs="Times New Roman"/>
          <w:sz w:val="28"/>
          <w:b w:val="1"/>
        </w:rPr>
        <w:drawing vyd:_id="vyd:mv0pkjzle14st0">
          <wp:inline distT="0" distB="0" distL="0" distR="0">
            <wp:extent cx="2476500" cy="3457575"/>
            <wp:effectExtent t="0" b="0" l="0" r="0"/>
            <wp:docPr id="179153626" name="Drawing 1791536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9153626" name=""/>
                    <pic:cNvPicPr/>
                  </pic:nvPicPr>
                  <pic:blipFill>
                    <a:blip r:embed="rId-2cecef54-e25a-474e-a34f-ae674c918ab4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000000" vyd:_id="vyd:mv0pk17nxnyhlg">
      <w:pPr>
        <w:rPr>
          <w:rFonts w:ascii="Times New Roman" w:hAnsi="Times New Roman" w:eastAsia="Times New Roman" w:cs="Times New Roman"/>
          <w:sz w:val="28"/>
          <w:b w:val="1"/>
        </w:rPr>
      </w:pPr>
      <w:r>
        <w:rPr>
          <w:rFonts w:ascii="Times New Roman" w:hAnsi="Times New Roman" w:eastAsia="Times New Roman" w:cs="Times New Roman"/>
          <w:sz w:val="28"/>
          <w:b w:val="1"/>
        </w:rPr>
        <w:t vyd:_id="vyd:mv0p5g7pnp20hk">Насонова Мария Алексеевна,</w:t>
      </w:r>
    </w:p>
    <w:p w14:paraId="1B000000" vyd:_id="vyd:mv0p5kr4k3caw3">
      <w:pPr>
        <w:ind w:start="0" w:end="0"/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vyd:_id="vyd:mv0p7qlfygpu0x">л</w:t>
      </w:r>
      <w:r>
        <w:rPr>
          <w:rFonts w:ascii="Times New Roman" w:hAnsi="Times New Roman" w:eastAsia="Times New Roman" w:cs="Times New Roman"/>
          <w:sz w:val="28"/>
        </w:rPr>
        <w:t vyd:_id="vyd:mv0p5lcf0tqtpb">огопед.</w:t>
      </w:r>
    </w:p>
    <w:p w14:paraId="1B000000" vyd:_id="vyd:mv0p7ekqvqo643">
      <w:pPr>
        <w:numPr>
          <w:ilvl w:val="0"/>
          <w:numId w:val="8"/>
        </w:numPr>
        <w:rPr>
          <w:rFonts w:ascii="Times New Roman" w:hAnsi="Times New Roman" w:eastAsia="Times New Roman" w:cs="Times New Roman"/>
          <w:sz w:val="28"/>
        </w:rPr>
      </w:pPr>
      <w:r>
        <w:rPr>
          <w:rFonts w:ascii="Times New Roman" w:hAnsi="Times New Roman" w:eastAsia="Times New Roman" w:cs="Times New Roman"/>
          <w:sz w:val="28"/>
        </w:rPr>
        <w:t vyd:_id="vyd:mv0p5nwj2lyegv">Педагог-дефектолог для работы с детьми дошкольного возраста с отклонениями в развитии.</w:t>
      </w:r>
    </w:p>
    <w:p w14:paraId="1B000000" vyd:_id="vyd:mv0p8cx73lsvek">
      <w:pPr>
        <w:numPr>
          <w:ilvl w:val="0"/>
          <w:numId w:val="8"/>
        </w:numPr>
        <w:rPr>
          <w:rFonts w:ascii="Times New Roman" w:hAnsi="Times New Roman"/>
        </w:rPr>
      </w:pPr>
      <w:r>
        <w:rPr>
          <w:rFonts w:ascii="Times New Roman" w:hAnsi="Times New Roman" w:eastAsia="Times New Roman" w:cs="Times New Roman"/>
          <w:sz w:val="28"/>
        </w:rPr>
        <w:t vyd:_id="vyd:mv0p8dnp3m3cbc" xml:space="preserve">Учитель-олигофренопедагог по специальности «Специальная дошкольная педагогика и психология» с дополнительной специальностью «Олигофренопедагогика». </w:t>
      </w:r>
      <w:r>
        <w:rPr>
          <w:rFonts w:ascii="Times New Roman" w:hAnsi="Times New Roman" w:eastAsia="Times New Roman" w:cs="Times New Roman"/>
          <w:sz w:val="28"/>
        </w:rPr>
        <w:br w:type="page" vyd:_id="vyd:000000000000fq"/>
      </w:r>
    </w:p>
    <w:p w14:paraId="1C000000" vyd:_id="vyd:000000000000fn">
      <w:pPr>
        <w:pStyle w:val="Style_2"/>
        <w:keepNext w:val="1"/>
        <w:widowControl w:val="1"/>
        <w:spacing w:after="80" w:before="22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o">Раздел 2. СОДЕРЖАНИЕ ТРЕНИНГА</w:t>
      </w:r>
    </w:p>
    <w:p w14:paraId="1D000000" vyd:_id="vyd:000000000000fl">
      <w:pPr>
        <w:pStyle w:val="Style_3"/>
        <w:keepNext w:val="1"/>
        <w:widowControl w:val="1"/>
        <w:spacing w:after="80" w:before="14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m">2.1. Краткое содержание</w:t>
      </w:r>
    </w:p>
    <w:p w14:paraId="1E000000" vyd:_id="vyd:000000000000fj">
      <w:pPr>
        <w:keepLines w:val="0"/>
        <w:widowControl w:val="1"/>
        <w:spacing w:after="100" w:before="0" w:line="259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k">Продолжительность ~ 90 минут</w:t>
      </w:r>
    </w:p>
    <w:p w14:paraId="1F000000" vyd:_id="vyd:000000000000fh">
      <w:pPr>
        <w:keepLines w:val="0"/>
        <w:widowControl w:val="1"/>
        <w:spacing w:after="60" w:before="0" w:line="259" w:lineRule="auto"/>
        <w:ind/>
        <w:jc w:val="center"/>
        <w:rPr>
          <w:rFonts w:ascii="Times New Roman" w:hAnsi="Times New Roman"/>
          <w:sz w:val="28"/>
          <w:color w:val="000000"/>
          <w:b w:val="1"/>
          <w:i w:val="0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i">Тайминг</w:t>
      </w:r>
    </w:p>
    <w:p w14:paraId="1F000000" vyd:_id="vyd:mv6eibaqamywuu">
      <w:pPr>
        <w:keepLines w:val="0"/>
        <w:widowControl w:val="1"/>
        <w:spacing w:after="60" w:before="0" w:line="259" w:lineRule="auto"/>
        <w:ind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g">1. Знакомство — 5 минут.</w:t>
      </w:r>
    </w:p>
    <w:p w14:paraId="21000000" vyd:_id="vyd:000000000000fd">
      <w:pPr>
        <w:keepNext w:val="1"/>
        <w:widowControl w:val="1"/>
        <w:spacing w:after="40" w:before="80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e">2. Речевая готовность к школе: не только звуки и буквы — 15 минут.</w:t>
      </w:r>
    </w:p>
    <w:p w14:paraId="22000000" vyd:_id="vyd:000000000000fa">
      <w:pPr>
        <w:keepLines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f9" xml:space="preserve">—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f8">Составляющие речевой готовности: понимание речи, словарь и грамматика, связный рассказ, звукопроизношение, диалог и фонематический слух.</w:t>
      </w:r>
    </w:p>
    <w:p w14:paraId="24000000" vyd:_id="vyd:000000000000f4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0"/>
          <w:i w:val="0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f6">— На базе чего формируется речь.</w:t>
      </w:r>
    </w:p>
    <w:p w14:paraId="24000000" vyd:_id="vyd:mv6e4acwp1gqak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f3">3. Понимание речи и инструкции — 10 минут.</w:t>
      </w:r>
    </w:p>
    <w:p w14:paraId="26000000" vyd:_id="vyd:000000000000ez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0"/>
          <w:i w:val="0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f1">—  Задания для диагностики и упражнения для занятий дома.</w:t>
      </w:r>
    </w:p>
    <w:p w14:paraId="26000000" vyd:_id="vyd:mv6e5tg8esgyvl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es">4. Словарный запас и грамматический строй речи — 10 минут.</w:t>
      </w:r>
    </w:p>
    <w:p w14:paraId="2A000000" vyd:_id="vyd:000000000000eo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1"/>
          <w:i w:val="0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eq">—  Возрастные нормы, диагностические задания и способы развития.</w:t>
      </w:r>
    </w:p>
    <w:p w14:paraId="2A000000" vyd:_id="vyd:mv6e6sdpklc14e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eh">5. С</w:t>
      </w:r>
      <w:r>
        <w:rPr>
          <w:rFonts w:ascii="Times New Roman" w:hAnsi="Times New Roman"/>
          <w:sz w:val="28"/>
          <w:color w:val="000000"/>
          <w:b w:val="1"/>
          <w:i w:val="0"/>
        </w:rPr>
        <w:t vyd:_id="vyd:mv6eb6evj3hqfd">вязанная речь</w:t>
      </w:r>
      <w:r>
        <w:rPr>
          <w:rFonts w:ascii="Times New Roman" w:hAnsi="Times New Roman"/>
          <w:sz w:val="28"/>
          <w:color w:val="000000"/>
          <w:b w:val="1"/>
          <w:i w:val="0"/>
        </w:rPr>
        <w:t vyd:_id="vyd:mv6eb6eosds6a9" xml:space="preserve"> </w:t>
      </w:r>
      <w:r>
        <w:rPr>
          <w:rFonts w:ascii="Times New Roman" w:hAnsi="Times New Roman"/>
          <w:sz w:val="28"/>
          <w:color w:val="000000"/>
          <w:b w:val="1"/>
          <w:i w:val="0"/>
        </w:rPr>
        <w:t vyd:_id="vyd:mv6eis9cofwpha">— 10 минут.</w:t>
      </w:r>
    </w:p>
    <w:p w14:paraId="2E000000" vyd:_id="vyd:000000000000ed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0"/>
          <w:i w:val="0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ef">—  Важнейший навык для готовности к школе.</w:t>
      </w:r>
    </w:p>
    <w:p w14:paraId="2E000000" vyd:_id="vyd:mv6ebq05ffmd1z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0"/>
          <w:i w:val="0"/>
          <w:spacing w:val="0"/>
        </w:rPr>
        <w:t vyd:_id="vyd:mv6ebu42y98931">—</w:t>
      </w:r>
      <w:r>
        <w:rPr>
          <w:sz w:val="22"/>
          <w:color w:val="000000"/>
        </w:rPr>
        <w:t vyd:_id="vyd:mv6ebu411ndwps" xml:space="preserve">  </w:t>
      </w:r>
      <w:r>
        <w:rPr>
          <w:rFonts w:ascii="Times New Roman" w:hAnsi="Times New Roman"/>
          <w:sz w:val="28"/>
        </w:rPr>
        <w:t vyd:_id="vyd:mv6ecaqxwui4dr">Задания для диагностики  и упражнения для развития.</w:t>
      </w:r>
    </w:p>
    <w:p w14:paraId="2E000000" vyd:_id="vyd:mv6ebe8c6x6aws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e6">6. Звукопроизношение, структура слова — 10 минут.</w:t>
      </w:r>
    </w:p>
    <w:p w14:paraId="32000000" vyd:_id="vyd:000000000000e2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0"/>
          <w:i w:val="0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e4">—  Возрастные нормы для детей 4-7 лет.</w:t>
      </w:r>
    </w:p>
    <w:p w14:paraId="32000000" vyd:_id="vyd:mv6edmd34p1gwn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0"/>
          <w:i w:val="0"/>
          <w:spacing w:val="0"/>
        </w:rPr>
        <w:t vyd:_id="vyd:mv6edi5hx29jih">—</w:t>
      </w:r>
      <w:r>
        <w:rPr>
          <w:sz w:val="22"/>
          <w:color w:val="000000"/>
        </w:rPr>
        <w:t vyd:_id="vyd:mv6edi5gce6m13" xml:space="preserve">   </w:t>
      </w:r>
      <w:r>
        <w:rPr>
          <w:rFonts w:ascii="Times New Roman" w:hAnsi="Times New Roman"/>
          <w:sz w:val="28"/>
        </w:rPr>
        <w:t vyd:_id="vyd:mv6edy3pgrn2x1">Способы развития.</w:t>
      </w:r>
    </w:p>
    <w:p w14:paraId="32000000" vyd:_id="vyd:mv6ed2r6bv2ivc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  <w:color w:val="000000"/>
          <w:b w:val="1"/>
          <w:i w:val="0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dv">7. Фонематический слух и база для чтения и письма  — 10 минут.</w:t>
      </w:r>
    </w:p>
    <w:p w14:paraId="32000000" vyd:_id="vyd:mv6eeh2h1hkeez">
      <w:pPr>
        <w:keepLines w:val="1"/>
        <w:widowControl w:val="1"/>
        <w:spacing w:after="40" w:line="250" w:lineRule="auto"/>
        <w:ind w:start="0" w:firstLine="0"/>
        <w:rPr>
          <w:rFonts w:ascii="Times New Roman" w:hAnsi="Times New Roman"/>
          <w:sz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0"/>
          <w:i w:val="0"/>
          <w:spacing w:val="0"/>
        </w:rPr>
        <w:t vyd:_id="vyd:mv6eenhuywh0wf">—</w:t>
      </w:r>
      <w:r>
        <w:rPr>
          <w:sz w:val="22"/>
          <w:color w:val="000000"/>
        </w:rPr>
        <w:t vyd:_id="vyd:mv6eenhtbr243j" xml:space="preserve">  </w:t>
      </w:r>
      <w:r>
        <w:rPr>
          <w:rFonts w:ascii="Times New Roman" w:hAnsi="Times New Roman"/>
          <w:sz w:val="28"/>
        </w:rPr>
        <w:t vyd:_id="vyd:mv6ef6d9jreh5b" xml:space="preserve"> Критерии оценки фонематического слуха и упражнения для развития.</w:t>
      </w:r>
    </w:p>
    <w:p w14:paraId="36000000" vyd:_id="vyd:000000000000dn">
      <w:pPr>
        <w:rPr>
          <w:rFonts w:ascii="Times New Roman" w:hAnsi="Times New Roman"/>
          <w:sz w:val="28"/>
        </w:rPr>
      </w:pPr>
      <w:r>
        <w:rPr>
          <w:rFonts w:ascii="Times New Roman" w:hAnsi="Times New Roman" w:eastAsia="Times New Roman" w:cs="Times New Roman"/>
          <w:sz w:val="28"/>
          <w:color w:val="000000"/>
          <w:b w:val="1"/>
          <w:i w:val="0"/>
          <w:spacing w:val="0"/>
        </w:rPr>
        <w:t vyd:_id="vyd:mv6efowcg32y88" xml:space="preserve">8. Мифы, возрастные различия и основания для консультации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0"/>
          <w:spacing w:val="0"/>
        </w:rPr>
        <w:t vyd:_id="vyd:mv6efow8nqj096" xml:space="preserve"> </w:t>
      </w:r>
      <w:r>
        <w:rPr>
          <w:rFonts w:ascii="Times New Roman" w:hAnsi="Times New Roman" w:eastAsia="Times New Roman" w:cs="Times New Roman"/>
          <w:sz w:val="28"/>
          <w:color w:val="000000"/>
          <w:b w:val="1"/>
          <w:i w:val="0"/>
          <w:spacing w:val="0"/>
        </w:rPr>
        <w:t vyd:_id="vyd:mv6efow6tpuji4" xml:space="preserve"> — 5 минут.</w:t>
      </w:r>
      <w:r>
        <w:rPr>
          <w:sz w:val="22"/>
          <w:color w:val="000000"/>
        </w:rPr>
        <w:t vyd:_id="vyd:mv6efow4rwunjh" xml:space="preserve"> </w:t>
      </w:r>
      <w:r>
        <w:rPr>
          <w:rFonts w:ascii="Times New Roman" w:hAnsi="Times New Roman" w:eastAsia="Times New Roman" w:cs="Times New Roman"/>
          <w:sz w:val="28"/>
        </w:rPr>
        <w:t vyd:_id="vyd:mv6egktm8839to" xml:space="preserve">— Мифы «главное — выговорить все звуки», «если читает — к школе готов», «два языка мешают речи», «нужно просто подождать». </w:t>
      </w:r>
      <w:r>
        <w:rPr>
          <w:rFonts w:ascii="Times New Roman" w:hAnsi="Times New Roman" w:eastAsia="Times New Roman" w:cs="Times New Roman"/>
          <w:sz w:val="28"/>
        </w:rPr>
        <w:br w:type="textWrapping" vyd:_id="vyd:mv6eji16e6fjkz"/>
      </w:r>
      <w:r>
        <w:rPr>
          <w:rFonts w:ascii="Times New Roman" w:hAnsi="Times New Roman"/>
          <w:sz w:val="28"/>
          <w:b w:val="1"/>
        </w:rPr>
        <w:t vyd:_id="vyd:mv6egog3967rfq" xml:space="preserve">9. Повседневная речевая среда без давления и экзамена — 10 минут. </w:t>
      </w:r>
      <w:r>
        <w:rPr>
          <w:rFonts w:ascii="Times New Roman" w:hAnsi="Times New Roman"/>
          <w:sz w:val="28"/>
          <w:b w:val="1"/>
        </w:rPr>
        <w:br w:type="textWrapping" vyd:_id="vyd:mv6ejkddy7dhj9"/>
      </w:r>
      <w:r>
        <w:rPr>
          <w:rFonts w:ascii="Times New Roman" w:hAnsi="Times New Roman" w:eastAsia="Times New Roman" w:cs="Times New Roman"/>
          <w:sz w:val="28"/>
          <w:color w:val="000000"/>
          <w:spacing w:val="0"/>
        </w:rPr>
        <w:t vyd:_id="vyd:mv6ei2xv2ajvbc">—</w:t>
      </w:r>
      <w:r>
        <w:rPr>
          <w:sz w:val="22"/>
          <w:color w:val="000000"/>
        </w:rPr>
        <w:t vyd:_id="vyd:mv6ei2xuckqx4k" xml:space="preserve"> </w:t>
      </w:r>
      <w:r>
        <w:rPr>
          <w:rFonts w:ascii="Times New Roman" w:hAnsi="Times New Roman" w:eastAsia="Times New Roman" w:cs="Times New Roman"/>
          <w:sz w:val="28"/>
        </w:rPr>
        <w:t vyd:_id="vyd:mv6egrbd0r064l" xml:space="preserve"> Речевая инициатива ребёнка, очередность реплик и значение паузы для ответа. </w:t>
      </w:r>
      <w:r>
        <w:rPr>
          <w:rFonts w:ascii="Times New Roman" w:hAnsi="Times New Roman" w:eastAsia="Times New Roman" w:cs="Times New Roman"/>
          <w:sz w:val="28"/>
        </w:rPr>
        <w:br w:type="textWrapping" vyd:_id="vyd:mv6ejco2ok7m2h"/>
      </w:r>
      <w:r>
        <w:rPr>
          <w:rFonts w:ascii="Times New Roman" w:hAnsi="Times New Roman" w:eastAsia="Times New Roman" w:cs="Times New Roman"/>
          <w:sz w:val="28"/>
          <w:color w:val="000000"/>
          <w:spacing w:val="0"/>
        </w:rPr>
        <w:t vyd:_id="vyd:mv6ei44qsw55tf">—</w:t>
      </w:r>
      <w:r>
        <w:rPr>
          <w:sz w:val="22"/>
          <w:color w:val="000000"/>
        </w:rPr>
        <w:t vyd:_id="vyd:mv6ei44p5gbixm" xml:space="preserve"> </w:t>
      </w:r>
      <w:r>
        <w:rPr>
          <w:rFonts w:ascii="Times New Roman" w:hAnsi="Times New Roman" w:eastAsia="Times New Roman" w:cs="Times New Roman"/>
          <w:sz w:val="28"/>
        </w:rPr>
        <w:t vyd:_id="vyd:mv6egtjg61qlix" xml:space="preserve"> Совместное чтение как разговор </w:t>
      </w:r>
      <w:r>
        <w:rPr>
          <w:rFonts w:ascii="Times New Roman" w:hAnsi="Times New Roman" w:eastAsia="Times New Roman" w:cs="Times New Roman"/>
          <w:sz w:val="28"/>
        </w:rPr>
        <w:br w:type="textWrapping" vyd:_id="vyd:mv6ejo1ttyps5h"/>
      </w:r>
      <w:r>
        <w:rPr>
          <w:rFonts w:ascii="Times New Roman" w:hAnsi="Times New Roman" w:eastAsia="Times New Roman" w:cs="Times New Roman"/>
          <w:sz w:val="28"/>
          <w:b w:val="1"/>
        </w:rPr>
        <w:t vyd:_id="vyd:mv6ehf59dz8rzd">10. Ответы на вопросы участников — 5 минут.</w:t>
      </w:r>
      <w:r>
        <w:rPr>
          <w:rFonts w:ascii="Times New Roman" w:hAnsi="Times New Roman" w:eastAsia="Times New Roman" w:cs="Times New Roman"/>
          <w:sz w:val="28"/>
          <w:b w:val="1"/>
        </w:rPr>
        <w:br w:type="page" vyd:_id="vyd:000000000000dm"/>
      </w:r>
    </w:p>
    <w:p w14:paraId="38000000" vyd:_id="vyd:000000000000dj">
      <w:pPr>
        <w:pStyle w:val="Style_2"/>
        <w:keepNext w:val="1"/>
        <w:widowControl w:val="1"/>
        <w:spacing w:after="80" w:before="220"/>
        <w:ind/>
        <w:jc w:val="end"/>
        <w:rPr>
          <w:rFonts w:ascii="Times New Roman" w:hAnsi="Times New Roman"/>
        </w:rPr>
      </w:pPr>
      <w:r>
        <w:rPr>
          <w:rFonts w:ascii="Times New Roman" w:hAnsi="Times New Roman"/>
          <w:sz w:val="26"/>
          <w:color w:val="000000"/>
          <w:b w:val="1"/>
          <w:i w:val="0"/>
        </w:rPr>
        <w:t vyd:_id="vyd:000000000000dk">ПРИЛОЖЕНИЕ</w:t>
      </w:r>
    </w:p>
    <w:p w14:paraId="39000000" vyd:_id="vyd:000000000000dh">
      <w:pPr>
        <w:keepLines w:val="0"/>
        <w:widowControl w:val="1"/>
        <w:spacing w:after="1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di">Практические материалы для самостоятельного применения</w:t>
      </w:r>
    </w:p>
    <w:p w14:paraId="3A000000" vyd:_id="vyd:000000000000df">
      <w:pPr>
        <w:pStyle w:val="Style_3"/>
        <w:keepNext w:val="1"/>
        <w:widowControl w:val="1"/>
        <w:spacing w:after="80" w:before="140"/>
        <w:ind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dg">Материал 1. Наблюдательный чек-лист речевой готовности</w:t>
      </w:r>
    </w:p>
    <w:p w14:paraId="3B000000" vyd:_id="vyd:000000000000dc">
      <w:pPr>
        <w:keepLines w:val="0"/>
        <w:widowControl w:val="1"/>
        <w:spacing w:after="10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de">Что это и для чего нужно.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d" xml:space="preserve"> Это недиагностический лист наблюдения, адаптированный по перечням коммуникативных навыков ASHA и NIDCD. Он помогает увидеть не один «правильный звук», а несколько сторон речи в естественных ситуациях и сформулировать следующий шаг без сравнения ребёнка с другими детьми.</w:t>
      </w:r>
    </w:p>
    <w:p w14:paraId="3C000000" vyd:_id="vyd:000000000000da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db">Как работать.</w:t>
      </w:r>
    </w:p>
    <w:p w14:paraId="3D000000" vyd:_id="vyd:000000000000d7">
      <w:pPr>
        <w:keepLines w:val="1"/>
        <w:widowControl w:val="1"/>
        <w:spacing w:after="30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9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8">Выберите одну обычную неделю и наблюдайте ребёнка во время разговора, игры, чтения, просьб и рассказа о прошедшем событии.</w:t>
      </w:r>
    </w:p>
    <w:p w14:paraId="3E000000" vyd:_id="vyd:000000000000d4">
      <w:pPr>
        <w:keepLines w:val="1"/>
        <w:widowControl w:val="1"/>
        <w:spacing w:after="30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6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5">По каждому пункту отмечайте: «обычно», «иногда», «пока не наблюдаю» или «не было ситуации». Не просите ребёнка выполнять пункт как тест.</w:t>
      </w:r>
    </w:p>
    <w:p w14:paraId="3F000000" vyd:_id="vyd:000000000000d1">
      <w:pPr>
        <w:keepLines w:val="1"/>
        <w:widowControl w:val="1"/>
        <w:spacing w:after="30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3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2">Отделяйте навык от обстоятельств: усталость, незнакомая обстановка и тревога могут менять поведение. Ищите повторяющуюся картину в разных ситуациях.</w:t>
      </w:r>
    </w:p>
    <w:p w14:paraId="40000000" vyd:_id="vyd:000000000000cy">
      <w:pPr>
        <w:keepLines w:val="1"/>
        <w:widowControl w:val="1"/>
        <w:spacing w:after="30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d0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cz">Выберите один навык для повседневной поддержки. Если несколько трудностей устойчивы, речь часто непонятна, ребёнку сложно понимать обращения либо произошла утрата ранее освоенных навыков, обсудите наблюдения со специалистом.</w:t>
      </w:r>
    </w:p>
    <w:tbl vyd:_id="vyd:000000000000az">
      <w:tblPr>
        <w:tblStyle w:val="Style_4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218.5"/>
        <w:gridCol w:w="5775.5"/>
        <w:gridCol w:w="1754.5"/>
      </w:tblGrid>
      <w:tr vyd:_id="vyd:000000000000co">
        <w:trPr>
          <w:tblHeader w:val="1"/>
        </w:trPr>
        <w:tc vyd:_id="vyd:000000000000cv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41000000" vyd:_id="vyd:000000000000cw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cx">Сфера</w:t>
            </w:r>
          </w:p>
        </w:tc>
        <w:tc vyd:_id="vyd:000000000000cs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42000000" vyd:_id="vyd:000000000000ct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cu">Что наблюдать</w:t>
            </w:r>
          </w:p>
        </w:tc>
        <w:tc vyd:_id="vyd:000000000000cp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43000000" vyd:_id="vyd:000000000000cq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cr">Отметка</w:t>
            </w:r>
          </w:p>
        </w:tc>
      </w:tr>
      <w:tr vyd:_id="vyd:000000000000ce">
        <w:tc vyd:_id="vyd:000000000000cl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4000000" vyd:_id="vyd:000000000000cm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n">Понимание</w:t>
            </w:r>
          </w:p>
        </w:tc>
        <w:tc vyd:_id="vyd:000000000000ci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5000000" vyd:_id="vyd:000000000000cj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k">Понимает бытовые инструкции и правила знакомой игры; уточняет, если не понял.</w:t>
            </w:r>
          </w:p>
        </w:tc>
        <w:tc vyd:_id="vyd:000000000000cf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6000000" vyd:_id="vyd:000000000000cg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c4">
        <w:tc vyd:_id="vyd:000000000000cb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7000000" vyd:_id="vyd:000000000000cc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d">Фраза</w:t>
            </w:r>
          </w:p>
        </w:tc>
        <w:tc vyd:_id="vyd:000000000000c8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8000000" vyd:_id="vyd:000000000000c9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a">Строит развёрнутые фразы, связывает мысли словами «и», «потом», «потому что».</w:t>
            </w:r>
          </w:p>
        </w:tc>
        <w:tc vyd:_id="vyd:000000000000c5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9000000" vyd:_id="vyd:000000000000c6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bu">
        <w:tc vyd:_id="vyd:000000000000c1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A000000" vyd:_id="vyd:000000000000c2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3">Рассказ</w:t>
            </w:r>
          </w:p>
        </w:tc>
        <w:tc vyd:_id="vyd:000000000000by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B000000" vyd:_id="vyd:000000000000bz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c0">Называет героев, место и последовательность событий; слушателю понятна основная мысль.</w:t>
            </w:r>
          </w:p>
        </w:tc>
        <w:tc vyd:_id="vyd:000000000000bv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4C000000" vyd:_id="vyd:000000000000bw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bk">
        <w:tc vyd:_id="vyd:000000000000br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D000000" vyd:_id="vyd:000000000000bs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t">Понятность</w:t>
            </w:r>
          </w:p>
        </w:tc>
        <w:tc vyd:_id="vyd:000000000000bo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E000000" vyd:_id="vyd:000000000000bp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q">Речь в разговоре понятна близким и большинству других взрослых; ошибки не мешают сообщению.</w:t>
            </w:r>
          </w:p>
        </w:tc>
        <w:tc vyd:_id="vyd:000000000000bl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4F000000" vyd:_id="vyd:000000000000bm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ba">
        <w:tc vyd:_id="vyd:000000000000bh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50000000" vyd:_id="vyd:000000000000bi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j">Звуковая игра</w:t>
            </w:r>
          </w:p>
        </w:tc>
        <w:tc vyd:_id="vyd:000000000000be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51000000" vyd:_id="vyd:000000000000bf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g">Замечает рифмы, делит знакомые слова на слоги, соединяет части слова.</w:t>
            </w:r>
          </w:p>
        </w:tc>
        <w:tc vyd:_id="vyd:000000000000bb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52000000" vyd:_id="vyd:000000000000bc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b0">
        <w:tc vyd:_id="vyd:000000000000b7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53000000" vyd:_id="vyd:000000000000b8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9">Диалог</w:t>
            </w:r>
          </w:p>
        </w:tc>
        <w:tc vyd:_id="vyd:000000000000b4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54000000" vyd:_id="vyd:000000000000b5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b6">Начинает разговор, отвечает по теме, ждёт реплику собеседника, просит пояснить непонятное.</w:t>
            </w:r>
          </w:p>
        </w:tc>
        <w:tc vyd:_id="vyd:000000000000b1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55000000" vyd:_id="vyd:000000000000b2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</w:tbl>
    <w:p w14:paraId="56000000" vyd:_id="vyd:000000000000aw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y">Условный заполненный пример.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x" xml:space="preserve"> Лиза, 5 лет 6 месяцев: понимание — «обычно»; фраза — «обычно»; рассказ — «иногда» (перескакивает к финалу); понятность — «обычно»; звуковая игра — «иногда» (рифмы узнаёт, первый звук путает); диалог — «обычно». Следующий шаг семьи — во время чтения просить расположить три события по порядку и задавать вопрос «что было сначала, потом и чем закончилось?», не требуя идеального пересказа.</w:t>
      </w:r>
    </w:p>
    <w:p w14:paraId="57000000" vyd:_id="vyd:000000000000at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v">Какие итоги могут получиться и как их использовать.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u" xml:space="preserve"> Равномерные отметки «обычно» показывают, что полезно сохранять разнообразное общение. Отметки «иногда» помогают выбрать одну понятную практику; сочетание нескольких «пока не наблюдаю», трудности понимания, заметная непонятность речи или регресс — повод не ставить диагноз самостоятельно, а принести наблюдения педиатру, логопеду и при необходимости специалисту по слуху.</w:t>
      </w:r>
    </w:p>
    <w:p w14:paraId="58000000" vyd:_id="vyd:000000000000am">
      <w:pPr>
        <w:shd w:val="clear" w:fill="FFFFFF"/>
        <w:spacing w:before="60" w:after="60"/>
        <w:ind w:start="0" w:end="0"/>
        <w:jc w:val="start"/>
        <w:rPr>
          <w:rFonts w:ascii="Times New Roman" w:hAnsi="Times New Roman"/>
          <w:sz w:val="28"/>
          <w:color w:val="000000"/>
          <w:b w:val="1"/>
          <w:i w:val="0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s" xml:space="preserve">Источники: </w:t>
      </w:r>
    </w:p>
    <w:p w14:paraId="58000000" vyd:_id="vyd:mv0q0g63xovyse">
      <w:pPr>
        <w:numPr>
          <w:ilvl w:val="0"/>
          <w:numId w:val="10"/>
        </w:numPr>
        <w:shd w:val="clear" w:fill="FFFFFF"/>
        <w:spacing w:before="60" w:after="60"/>
        <w:jc w:val="start"/>
        <w:rPr>
          <w:rFonts w:ascii="Times New Roman" w:hAnsi="Times New Roman"/>
          <w:sz w:val="28"/>
          <w:i w:val="1"/>
        </w:rPr>
      </w:pPr>
      <w:r>
        <w:fldChar w:fldCharType="begin" vyd:_id="vyd:000000000000ar"/>
      </w:r>
      <w:r>
        <w:instrText>HYPERLINK "https://www.asha.org/public/developmental-milestones/communication-milestones-4-to-5-years/"</w:instrText>
      </w:r>
      <w:r>
        <w:fldChar w:fldCharType="separate"/>
      </w:r>
      <w:r>
        <w:rPr>
          <w:rFonts w:ascii="Times New Roman" w:hAnsi="Times New Roman"/>
          <w:sz w:val="28"/>
          <w:i w:val="1"/>
        </w:rPr>
        <w:t vyd:_id="vyd:mv0pyyw1udzbk2">American Speech-Language-Hearing Association. Communication Milestones: 4 to 5 Years (Этапы развития коммуникации: от 4 до 5 лет) [Электронный ресурс].  — Текст : электронный</w:t>
      </w:r>
    </w:p>
    <w:p w14:paraId="58000000" vyd:_id="vyd:mv0pyyw0pskuf6">
      <w:pPr>
        <w:numPr>
          <w:ilvl w:val="0"/>
          <w:numId w:val="10"/>
        </w:numPr>
        <w:shd w:val="clear" w:fill="FFFFFF"/>
        <w:spacing w:before="60" w:after="60"/>
        <w:jc w:val="start"/>
        <w:rPr>
          <w:rFonts w:ascii="Times New Roman" w:hAnsi="Times New Roman"/>
          <w:sz w:val="28"/>
          <w:i w:val="1"/>
        </w:rPr>
      </w:pPr>
      <w:r>
        <w:rPr>
          <w:rFonts w:ascii="Times New Roman" w:hAnsi="Times New Roman"/>
          <w:sz w:val="28"/>
          <w:i w:val="1"/>
        </w:rPr>
        <w:t vyd:_id="vyd:mv0pyyvwxrbcxr">National Institute on Deafness and Other Communication Disorders. Speech and Language Developmental Milestones (Основные этапы развития речи и языка) [Электронный ресурс]. — Текст : электронный</w:t>
      </w:r>
    </w:p>
    <w:p w14:paraId="58000000" vyd:_id="vyd:mv0pyyvumr5yua">
      <w:pPr>
        <w:widowControl w:val="1"/>
        <w:spacing w:after="0" w:before="100" w:line="240" w:lineRule="auto"/>
        <w:ind/>
        <w:rPr>
          <w:rFonts w:ascii="Times New Roman" w:hAnsi="Times New Roman"/>
          <w:sz w:val="28"/>
        </w:rPr>
      </w:pPr>
      <w:r>
        <w:fldChar w:fldCharType="end" vyd:_id="vyd:000000000000ar-end"/>
      </w:r>
      <w:r>
        <w:rPr>
          <w:rFonts w:ascii="Times New Roman" w:hAnsi="Times New Roman"/>
          <w:sz w:val="28"/>
        </w:rPr>
        <w:br w:type="page" vyd:_id="vyd:000000000000al"/>
      </w:r>
    </w:p>
    <w:p w14:paraId="5A000000" vyd:_id="vyd:000000000000ai">
      <w:pPr>
        <w:pStyle w:val="Style_3"/>
        <w:keepNext w:val="1"/>
        <w:widowControl w:val="1"/>
        <w:spacing w:after="80" w:before="140"/>
        <w:ind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j">Материал 2. Стратегия «Наблюдай — жди — слушай» (OWL)</w:t>
      </w:r>
    </w:p>
    <w:p w14:paraId="5B000000" vyd:_id="vyd:000000000000af">
      <w:pPr>
        <w:keepLines w:val="0"/>
        <w:widowControl w:val="1"/>
        <w:spacing w:after="10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h">Что это и для чего нужно.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g" xml:space="preserve"> OWL — стратегия The Hanen Centre: взрослый сначала наблюдает за интересом и способом общения ребёнка, затем выдерживает ожидающую паузу и внимательно слушает сообщение. Принцип помогает снизить количество подсказок и вопросов, дать ребёнку место для инициативы и сделать разговор более взаимным.</w:t>
      </w:r>
    </w:p>
    <w:p w14:paraId="5C000000" vyd:_id="vyd:000000000000ad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e">Как работать.</w:t>
      </w:r>
    </w:p>
    <w:p w14:paraId="5D000000" vyd:_id="vyd:000000000000aa">
      <w:pPr>
        <w:keepLines w:val="1"/>
        <w:widowControl w:val="1"/>
        <w:spacing w:after="5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c">1. Наблюдай.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b" xml:space="preserve"> Расположитесь так, чтобы видеть лицо и действия ребёнка. Заметьте, на что он смотрит, что делает и как сообщает интерес: словами, взглядом, жестом, звуком или движением.</w:t>
      </w:r>
    </w:p>
    <w:p w14:paraId="5E000000" vyd:_id="vyd:000000000000a7">
      <w:pPr>
        <w:keepLines w:val="1"/>
        <w:widowControl w:val="1"/>
        <w:spacing w:after="5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9">2. Жди.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8" xml:space="preserve"> Остановите свою речь, покажите заинтересованность лицом и корпусом и дайте ребёнку время начать или продолжить обмен. Если сообщения нет, прокомментируйте его действие одной короткой фразой и снова сделайте паузу.</w:t>
      </w:r>
    </w:p>
    <w:p w14:paraId="5F000000" vyd:_id="vyd:000000000000a4">
      <w:pPr>
        <w:keepLines w:val="1"/>
        <w:widowControl w:val="1"/>
        <w:spacing w:after="5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6">3. Слушай.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5" xml:space="preserve"> Примите сообщение целиком, не торопясь исправлять форму. Ответьте на смысл: повторите ключевое слово, назовите действие или чувство, добавьте один небольшой языковой шаг.</w:t>
      </w:r>
    </w:p>
    <w:p w14:paraId="60000000" vyd:_id="vyd:000000000000a1">
      <w:pPr>
        <w:keepLines w:val="1"/>
        <w:widowControl w:val="1"/>
        <w:spacing w:after="5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3">4. Продолжай обмен.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a2" xml:space="preserve"> После своей реплики снова оставьте место ребёнку. Сохраняйте тему, пока она ему интересна, вместо быстрой смены задания.</w:t>
      </w:r>
    </w:p>
    <w:p w14:paraId="61000000" vyd:_id="vyd:0000000000009z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a0">Рабочий бланк наблюдения</w:t>
      </w:r>
    </w:p>
    <w:tbl vyd:_id="vyd:0000000000008v">
      <w:tblPr>
        <w:tblStyle w:val="Style_4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268"/>
        <w:gridCol w:w="2268"/>
        <w:gridCol w:w="2381"/>
        <w:gridCol w:w="2606.5"/>
      </w:tblGrid>
      <w:tr vyd:_id="vyd:0000000000009m">
        <w:trPr>
          <w:tblHeader w:val="1"/>
        </w:trPr>
        <w:tc vyd:_id="vyd:0000000000009w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62000000" vyd:_id="vyd:0000000000009x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9y">Ситуация и интерес</w:t>
            </w:r>
          </w:p>
        </w:tc>
        <w:tc vyd:_id="vyd:0000000000009t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63000000" vyd:_id="vyd:0000000000009u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9v">Сообщение ребёнка</w:t>
            </w:r>
          </w:p>
        </w:tc>
        <w:tc vyd:_id="vyd:0000000000009q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64000000" vyd:_id="vyd:0000000000009r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9s">Ответ взрослого</w:t>
            </w:r>
          </w:p>
        </w:tc>
        <w:tc vyd:_id="vyd:0000000000009n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65000000" vyd:_id="vyd:0000000000009o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9p">Следующая реплика</w:t>
            </w:r>
          </w:p>
        </w:tc>
      </w:tr>
      <w:tr vyd:_id="vyd:00000000000099">
        <w:tc vyd:_id="vyd:0000000000009j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66000000" vyd:_id="vyd:0000000000009k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9g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67000000" vyd:_id="vyd:0000000000009h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9d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68000000" vyd:_id="vyd:0000000000009e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9a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69000000" vyd:_id="vyd:0000000000009b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  <w:tr vyd:_id="vyd:0000000000008w">
        <w:tc vyd:_id="vyd:00000000000096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6A000000" vyd:_id="vyd:00000000000097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93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6B000000" vyd:_id="vyd:00000000000094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90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6C000000" vyd:_id="vyd:00000000000091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8x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6D000000" vyd:_id="vyd:0000000000008y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</w:tr>
    </w:tbl>
    <w:p w14:paraId="6E000000" vyd:_id="vyd:0000000000008t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8u">Условный заполненный пример</w:t>
      </w:r>
    </w:p>
    <w:tbl vyd:_id="vyd:00000000000082">
      <w:tblPr>
        <w:tblStyle w:val="Style_4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268"/>
        <w:gridCol w:w="1814"/>
        <w:gridCol w:w="2835"/>
        <w:gridCol w:w="2666.5"/>
      </w:tblGrid>
      <w:tr vyd:_id="vyd:0000000000008g">
        <w:trPr>
          <w:tblHeader w:val="1"/>
        </w:trPr>
        <w:tc vyd:_id="vyd:0000000000008q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6F000000" vyd:_id="vyd:0000000000008r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8s">Ситуация и интерес</w:t>
            </w:r>
          </w:p>
        </w:tc>
        <w:tc vyd:_id="vyd:0000000000008n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70000000" vyd:_id="vyd:0000000000008o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8p">Сообщение ребёнка</w:t>
            </w:r>
          </w:p>
        </w:tc>
        <w:tc vyd:_id="vyd:0000000000008k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71000000" vyd:_id="vyd:0000000000008l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8m">Ответ взрослого</w:t>
            </w:r>
          </w:p>
        </w:tc>
        <w:tc vyd:_id="vyd:0000000000008h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72000000" vyd:_id="vyd:0000000000008i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8j">Следующая реплика</w:t>
            </w:r>
          </w:p>
        </w:tc>
      </w:tr>
      <w:tr vyd:_id="vyd:00000000000083">
        <w:tc vyd:_id="vyd:0000000000008d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73000000" vyd:_id="vyd:0000000000008e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8f">Строит высокий мост</w:t>
            </w:r>
          </w:p>
        </w:tc>
        <w:tc vyd:_id="vyd:0000000000008a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74000000" vyd:_id="vyd:0000000000008b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8c">«Он упал!»</w:t>
            </w:r>
          </w:p>
        </w:tc>
        <w:tc vyd:_id="vyd:00000000000087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75000000" vyd:_id="vyd:00000000000088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89">«Да, высокий мост развалился» — пауза</w:t>
            </w:r>
          </w:p>
        </w:tc>
        <w:tc vyd:_id="vyd:00000000000084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76000000" vyd:_id="vyd:00000000000085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86">«Нужна широкая опора»</w:t>
            </w:r>
          </w:p>
        </w:tc>
      </w:tr>
    </w:tbl>
    <w:p w14:paraId="77000000" vyd:_id="vyd:00000000000080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81">Здесь взрослый не просит повторить «правильно» и не перехватывает игру. Он подтверждает смысл, расширяет фразу ребёнка словами «высокий мост развалился» и оставляет место для следующего сообщения.</w:t>
      </w:r>
    </w:p>
    <w:p w14:paraId="78000000" vyd:_id="vyd:0000000000007x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z">Какие итоги могут получиться.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y" xml:space="preserve"> Ребёнок может чаще начинать разговор, дольше удерживать общую тему, использовать более развёрнутые фразы или сначала отвечать жестом и коротким словом. Полезно спросить себя: действительно ли я дождался инициативы; ответил ли на смысл; добавил ли ровно столько языка, сколько ребёнок способен включить в разговор.</w:t>
      </w:r>
    </w:p>
    <w:p w14:paraId="79000000" vyd:_id="vyd:0000000000007u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w">Как использовать результат.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v" xml:space="preserve"> Выберите одну регулярную ситуацию — совместную игру, дорогу, приготовление еды — и применяйте цикл последовательно. Стратегия поддерживает общение, но не заменяет обследование и коррекционную помощь при устойчивых трудностях понимания, речи или слуха.</w:t>
      </w:r>
    </w:p>
    <w:p w14:paraId="7A000000" vyd:_id="vyd:0000000000007n">
      <w:pPr>
        <w:widowControl w:val="1"/>
        <w:spacing w:after="0" w:before="100" w:line="240" w:lineRule="auto"/>
        <w:ind/>
        <w:rPr>
          <w:rFonts w:ascii="Times New Roman" w:hAnsi="Times New Roman"/>
          <w:sz w:val="28"/>
          <w:color w:val="000000"/>
          <w:b w:val="1"/>
          <w:i w:val="0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t" xml:space="preserve">Источники: </w:t>
      </w:r>
    </w:p>
    <w:p w14:paraId="7A000000" vyd:_id="vyd:mv0q28tzjdx9k8">
      <w:pPr>
        <w:numPr>
          <w:ilvl w:val="0"/>
          <w:numId w:val="13"/>
        </w:numPr>
        <w:shd w:val="clear" w:fill="FFFFFF"/>
        <w:spacing w:before="60" w:after="60"/>
        <w:jc w:val="start"/>
        <w:rPr>
          <w:rFonts w:ascii="Times New Roman" w:hAnsi="Times New Roman"/>
          <w:sz w:val="28"/>
          <w:i w:val="1"/>
        </w:rPr>
      </w:pPr>
      <w:r>
        <w:rPr>
          <w:rFonts w:ascii="Times New Roman" w:hAnsi="Times New Roman"/>
          <w:sz w:val="28"/>
          <w:i w:val="1"/>
        </w:rPr>
        <w:t vyd:_id="vyd:mv0q29vjrhjvaj" xml:space="preserve">The Hanen Centre. </w:t>
      </w:r>
      <w:r>
        <w:rPr>
          <w:rFonts w:ascii="Times New Roman" w:hAnsi="Times New Roman"/>
          <w:sz w:val="28"/>
          <w:i w:val="1"/>
        </w:rPr>
        <w:t vyd:_id="vyd:mv0q29vi41ul33">Children Who Lead Get the Language They Need!</w:t>
      </w:r>
      <w:r>
        <w:rPr>
          <w:rFonts w:ascii="Times New Roman" w:hAnsi="Times New Roman"/>
          <w:sz w:val="28"/>
          <w:i w:val="1"/>
        </w:rPr>
        <w:t vyd:_id="vyd:mv0q29vihiq25u" xml:space="preserve"> (Дети, которые сами инициируют взаимодействие, лучше осваивают язык; раздел о стратегии «Наблюдайте, ждите и слушайте» — OWL) [Электронный ресурс]. — Текст : электронный</w:t>
      </w:r>
    </w:p>
    <w:p w14:paraId="7A000000" vyd:_id="vyd:mv0q345tbbn6rg">
      <w:pPr>
        <w:numPr>
          <w:ilvl w:val="0"/>
          <w:numId w:val="13"/>
        </w:numPr>
        <w:shd w:val="clear" w:fill="FFFFFF"/>
        <w:spacing w:before="60" w:after="60"/>
        <w:jc w:val="start"/>
        <w:rPr>
          <w:rFonts w:ascii="Times New Roman" w:hAnsi="Times New Roman"/>
          <w:sz w:val="28"/>
          <w:color w:val="000000"/>
          <w:b w:val="1"/>
          <w:i w:val="1"/>
        </w:rPr>
      </w:pPr>
      <w:r>
        <w:rPr>
          <w:rFonts w:ascii="Times New Roman" w:hAnsi="Times New Roman"/>
          <w:sz w:val="28"/>
          <w:i w:val="1"/>
        </w:rPr>
        <w:t vyd:_id="vyd:mv0q29vd65r5w1" xml:space="preserve">Roberts M. Y., Kaiser A. P. </w:t>
      </w:r>
      <w:r>
        <w:rPr>
          <w:rFonts w:ascii="Times New Roman" w:hAnsi="Times New Roman"/>
          <w:sz w:val="28"/>
          <w:i w:val="1"/>
        </w:rPr>
        <w:t vyd:_id="vyd:mv0q29vdx9v8ua">The Effectiveness of Parent-Implemented Language Interventions: A Meta-Analysis</w:t>
      </w:r>
      <w:r>
        <w:rPr>
          <w:rFonts w:ascii="Times New Roman" w:hAnsi="Times New Roman"/>
          <w:sz w:val="28"/>
          <w:i w:val="1"/>
        </w:rPr>
        <w:t vyd:_id="vyd:mv0q29vch4e47p" xml:space="preserve"> (Эффективность языковых вмешательств, реализуемых родителями: метаанализ) // </w:t>
      </w:r>
      <w:r>
        <w:rPr>
          <w:rFonts w:ascii="Times New Roman" w:hAnsi="Times New Roman"/>
          <w:sz w:val="28"/>
          <w:i w:val="1"/>
        </w:rPr>
        <w:t vyd:_id="vyd:mv0q29vcvh81it">American Journal of Speech-Language Pathology</w:t>
      </w:r>
      <w:r>
        <w:rPr>
          <w:rFonts w:ascii="Times New Roman" w:hAnsi="Times New Roman"/>
          <w:sz w:val="28"/>
          <w:i w:val="1"/>
        </w:rPr>
        <w:t vyd:_id="vyd:mv0q29vbqie5so">. — 2011. — Vol. 20, no. 3. — P. 180–199. — DOI: 10.1044/1058-0360(2011/10-0055).  — Текст : электронный</w:t>
      </w:r>
    </w:p>
    <w:p w14:paraId="7B000000" vyd:_id="vyd:0000000000007l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 vyd:_id="vyd:0000000000007m"/>
      </w:r>
    </w:p>
    <w:p w14:paraId="7C000000" vyd:_id="vyd:0000000000007j">
      <w:pPr>
        <w:pStyle w:val="Style_3"/>
        <w:keepNext w:val="1"/>
        <w:widowControl w:val="1"/>
        <w:spacing w:after="80" w:before="140"/>
        <w:ind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k">Материал 3. Диалогическое чтение PEER и CROWD</w:t>
      </w:r>
    </w:p>
    <w:p w14:paraId="7D000000" vyd:_id="vyd:0000000000007g">
      <w:pPr>
        <w:keepLines w:val="0"/>
        <w:widowControl w:val="1"/>
        <w:spacing w:after="10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i">Что это и для чего нужно.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h" xml:space="preserve"> Диалогическое чтение — интерактивное совместное чтение, при котором ребёнок постепенно становится рассказчиком, а взрослый поддерживает его вопросами и расширением ответов. Цикл PEER организует ответ взрослого, а CROWD предлагает пять видов подсказок, чтобы разговор не сводился к вопросу «что нарисовано?». Методика направлена на развитие устной речи и ранней грамотности.</w:t>
      </w:r>
    </w:p>
    <w:p w14:paraId="7E000000" vyd:_id="vyd:0000000000007e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f">Как работать по циклу PEER.</w:t>
      </w:r>
    </w:p>
    <w:p w14:paraId="7F000000" vyd:_id="vyd:0000000000007b">
      <w:pPr>
        <w:keepLines w:val="1"/>
        <w:widowControl w:val="1"/>
        <w:spacing w:after="26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d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c">P — Prompt: побудите ребёнка сказать что-то о странице или событии.</w:t>
      </w:r>
    </w:p>
    <w:p w14:paraId="80000000" vyd:_id="vyd:00000000000078">
      <w:pPr>
        <w:keepLines w:val="1"/>
        <w:widowControl w:val="1"/>
        <w:spacing w:after="26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a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9">E — Evaluate: подтвердите смысл ответа; оценка здесь означает внимательное принятие, а не отметку.</w:t>
      </w:r>
    </w:p>
    <w:p w14:paraId="81000000" vyd:_id="vyd:00000000000075">
      <w:pPr>
        <w:keepLines w:val="1"/>
        <w:widowControl w:val="1"/>
        <w:spacing w:after="26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7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6">E — Expand: расширьте ответ — добавьте точное слово, признак, причину или связь, сохранив мысль ребёнка.</w:t>
      </w:r>
    </w:p>
    <w:p w14:paraId="82000000" vyd:_id="vyd:00000000000072">
      <w:pPr>
        <w:keepLines w:val="1"/>
        <w:widowControl w:val="1"/>
        <w:spacing w:after="26" w:line="252" w:lineRule="auto"/>
        <w:ind w:start="403" w:hanging="25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4" xml:space="preserve">•  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73">R — Repeat: предложите вернуться к расширенной мысли или задайте связанный вопрос, чтобы ребёнок использовал новую формулировку в разговоре.</w:t>
      </w:r>
    </w:p>
    <w:p w14:paraId="83000000" vyd:_id="vyd:00000000000070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71">Подсказки CROWD и условный пример по знакомой сказке «Теремок»</w:t>
      </w:r>
    </w:p>
    <w:tbl vyd:_id="vyd:0000000000005b">
      <w:tblPr>
        <w:tblStyle w:val="Style_4"/>
        <w:tblW w:w="0" w:type="auto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381"/>
        <w:gridCol w:w="2608"/>
        <w:gridCol w:w="4082"/>
      </w:tblGrid>
      <w:tr vyd:_id="vyd:0000000000006q">
        <w:trPr>
          <w:tblHeader w:val="1"/>
        </w:trPr>
        <w:tc vyd:_id="vyd:0000000000006x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84000000" vyd:_id="vyd:0000000000006y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6z">Тип</w:t>
            </w:r>
          </w:p>
        </w:tc>
        <w:tc vyd:_id="vyd:0000000000006u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85000000" vyd:_id="vyd:0000000000006v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6w">Задача</w:t>
            </w:r>
          </w:p>
        </w:tc>
        <w:tc vyd:_id="vyd:0000000000006r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86000000" vyd:_id="vyd:0000000000006s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6t">Пример вопроса или реплики</w:t>
            </w:r>
          </w:p>
        </w:tc>
      </w:tr>
      <w:tr vyd:_id="vyd:0000000000006g">
        <w:tc vyd:_id="vyd:0000000000006n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7000000" vyd:_id="vyd:0000000000006o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p">Completion — завершение</w:t>
            </w:r>
          </w:p>
        </w:tc>
        <w:tc vyd:_id="vyd:0000000000006k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8000000" vyd:_id="vyd:0000000000006l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m">Закончить знакомую фразу.</w:t>
            </w:r>
          </w:p>
        </w:tc>
        <w:tc vyd:_id="vyd:0000000000006h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9000000" vyd:_id="vyd:0000000000006i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j">«Стоит в поле теремок, он не низок, не…»</w:t>
            </w:r>
          </w:p>
        </w:tc>
      </w:tr>
      <w:tr vyd:_id="vyd:00000000000066">
        <w:tc vyd:_id="vyd:0000000000006d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8A000000" vyd:_id="vyd:0000000000006e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f">Recall — воспоминание</w:t>
            </w:r>
          </w:p>
        </w:tc>
        <w:tc vyd:_id="vyd:0000000000006a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8B000000" vyd:_id="vyd:0000000000006b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c">Вспомнить уже прочитанное.</w:t>
            </w:r>
          </w:p>
        </w:tc>
        <w:tc vyd:_id="vyd:00000000000067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8C000000" vyd:_id="vyd:00000000000068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9">«Кто первым поселился в теремке?»</w:t>
            </w:r>
          </w:p>
        </w:tc>
      </w:tr>
      <w:tr vyd:_id="vyd:0000000000005w">
        <w:tc vyd:_id="vyd:00000000000063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D000000" vyd:_id="vyd:00000000000064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5">Open-ended — открытый вопрос</w:t>
            </w:r>
          </w:p>
        </w:tc>
        <w:tc vyd:_id="vyd:00000000000060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E000000" vyd:_id="vyd:00000000000061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62">Связно описать сцену.</w:t>
            </w:r>
          </w:p>
        </w:tc>
        <w:tc vyd:_id="vyd:0000000000005x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8F000000" vyd:_id="vyd:0000000000005y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z">«Расскажи, что здесь происходит и почему все собрались у домика»</w:t>
            </w:r>
          </w:p>
        </w:tc>
      </w:tr>
      <w:tr vyd:_id="vyd:0000000000005m">
        <w:tc vyd:_id="vyd:0000000000005t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90000000" vyd:_id="vyd:0000000000005u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v">Wh — кто, что, где, почему</w:t>
            </w:r>
          </w:p>
        </w:tc>
        <w:tc vyd:_id="vyd:0000000000005q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91000000" vyd:_id="vyd:0000000000005r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s">Уточнить героя, действие, место, причину.</w:t>
            </w:r>
          </w:p>
        </w:tc>
        <w:tc vyd:_id="vyd:0000000000005n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92000000" vyd:_id="vyd:0000000000005o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p">«Почему медведь не смог войти так же, как остальные?»</w:t>
            </w:r>
          </w:p>
        </w:tc>
      </w:tr>
      <w:tr vyd:_id="vyd:0000000000005c">
        <w:tc vyd:_id="vyd:0000000000005j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93000000" vyd:_id="vyd:0000000000005k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l">Distancing — связь с опытом</w:t>
            </w:r>
          </w:p>
        </w:tc>
        <w:tc vyd:_id="vyd:0000000000005g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94000000" vyd:_id="vyd:0000000000005h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i">Связать книгу с жизнью ребёнка.</w:t>
            </w:r>
          </w:p>
        </w:tc>
        <w:tc vyd:_id="vyd:0000000000005d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95000000" vyd:_id="vyd:0000000000005e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5f">«Когда тебе приходилось договариваться о месте или делиться?»</w:t>
            </w:r>
          </w:p>
        </w:tc>
      </w:tr>
    </w:tbl>
    <w:p w14:paraId="96000000" vyd:_id="vyd:00000000000058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5a">Разобранный пример PEER.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59" xml:space="preserve"> Взрослый: «Почему звери пустили лягушку?» Ребёнок: «Она попросила». Взрослый подтверждает: «Да, она вежливо попросила», расширяет: «и пообещала жить дружно», затем возвращает мысль: «Скажи теперь целиком, как она договорилась с жильцами». Если ребёнку трудно, достаточно предложить два смысловых варианта, а не отвечать вместо него.</w:t>
      </w:r>
    </w:p>
    <w:p w14:paraId="97000000" vyd:_id="vyd:00000000000055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57">Какие итоги могут получиться.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56" xml:space="preserve"> Ответы могут стать длиннее и точнее; ребёнок может чаще объяснять причины, связывать события и опираться на личный опыт. Если вопросы превращают чтение в допрос, стоит сократить их число, чаще комментировать и следовать интересу ребёнка; правильного количества вопросов для каждой книги нет.</w:t>
      </w:r>
    </w:p>
    <w:p w14:paraId="98000000" vyd:_id="vyd:00000000000052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54">Как использовать результат.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53" xml:space="preserve"> Выберите знакомую книгу с ясными иллюстрациями, заранее подготовьте по одному вопросу нескольких типов CROWD и повторяйте книгу в разные дни, постепенно повышая сложность. Диалогическое чтение не является проверкой памяти и не требует исправлять каждую грамматическую или звуковую ошибку.</w:t>
      </w:r>
    </w:p>
    <w:p w14:paraId="99000000" vyd:_id="vyd:0000000000004y">
      <w:pPr>
        <w:widowControl w:val="1"/>
        <w:spacing w:after="0" w:before="10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51" xml:space="preserve">Источники: </w:t>
      </w:r>
      <w:r>
        <w:rPr>
          <w:rFonts w:ascii="Times New Roman" w:hAnsi="Times New Roman"/>
          <w:sz w:val="28"/>
          <w:i w:val="1"/>
        </w:rPr>
        <w:t vyd:_id="vyd:mv0q4g9vlk893f" xml:space="preserve">Institute of Education Sciences. What Works Clearinghouse. </w:t>
      </w:r>
      <w:r>
        <w:rPr>
          <w:rFonts w:ascii="Times New Roman" w:hAnsi="Times New Roman"/>
          <w:sz w:val="28"/>
          <w:i w:val="1"/>
        </w:rPr>
        <w:t vyd:_id="vyd:mv0q4g9u95073s">Dialogic Reading</w:t>
      </w:r>
      <w:r>
        <w:rPr>
          <w:rFonts w:ascii="Times New Roman" w:hAnsi="Times New Roman"/>
          <w:sz w:val="28"/>
          <w:i w:val="1"/>
        </w:rPr>
        <w:t vyd:_id="vyd:mv0q4g9te6x4rv" xml:space="preserve"> (Диалогическое чтение) [Электронный ресурс]. — Текст : электронный</w:t>
      </w:r>
      <w:r>
        <w:rPr>
          <w:rFonts w:ascii="Times New Roman" w:hAnsi="Times New Roman"/>
          <w:sz w:val="28"/>
        </w:rPr>
        <w:br w:type="page" vyd:_id="vyd:0000000000004x"/>
      </w:r>
    </w:p>
    <w:p w14:paraId="9B000000" vyd:_id="vyd:0000000000004u">
      <w:pPr>
        <w:pStyle w:val="Style_3"/>
        <w:keepNext w:val="1"/>
        <w:widowControl w:val="1"/>
        <w:spacing w:after="80" w:before="140"/>
        <w:ind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4v">Материал 4. Игры на фонологическую осведомлённость: рифма, слоги, первый звук, слияние</w:t>
      </w:r>
    </w:p>
    <w:p w14:paraId="9C000000" vyd:_id="vyd:0000000000004r">
      <w:pPr>
        <w:keepLines w:val="0"/>
        <w:widowControl w:val="1"/>
        <w:spacing w:after="10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4t">Что это и для чего нужно.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4s" xml:space="preserve"> Фонологическая осведомлённость — способность замечать и преобразовывать звуковое строение устной речи независимо от значения слова. Она включает работу с рифмой, словами, слогами, частями слога и отдельными звуками и относится к предпосылкам обучения чтению. В заданиях важно произносить звук, например [м], а не название буквы «эм».</w:t>
      </w:r>
    </w:p>
    <w:p w14:paraId="9D000000" vyd:_id="vyd:0000000000004o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4q">Как работать.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4p" xml:space="preserve"> Начинайте с более крупных и доступных единиц. Показывайте один пример, затем предлагайте несколько коротких проб. Если ребёнок угадывает случайно или быстро утомляется, вернитесь на предыдущую ступень; результат одной игры не является диагностикой.</w:t>
      </w:r>
    </w:p>
    <w:tbl vyd:_id="vyd:0000000000002z">
      <w:tblPr>
        <w:tblStyle w:val="Style_4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113.5"/>
        <w:gridCol w:w="4009.5"/>
        <w:gridCol w:w="3130.5"/>
      </w:tblGrid>
      <w:tr vyd:_id="vyd:0000000000004e">
        <w:trPr>
          <w:tblHeader w:val="1"/>
        </w:trPr>
        <w:tc vyd:_id="vyd:0000000000004l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9E000000" vyd:_id="vyd:0000000000004m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4n">Ступень</w:t>
            </w:r>
          </w:p>
        </w:tc>
        <w:tc vyd:_id="vyd:0000000000004i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9F000000" vyd:_id="vyd:0000000000004j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4k">Задание</w:t>
            </w:r>
          </w:p>
        </w:tc>
        <w:tc vyd:_id="vyd:0000000000004f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A0000000" vyd:_id="vyd:0000000000004g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4h">Пример</w:t>
            </w:r>
          </w:p>
        </w:tc>
      </w:tr>
      <w:tr vyd:_id="vyd:00000000000044">
        <w:tc vyd:_id="vyd:0000000000004b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1000000" vyd:_id="vyd:0000000000004c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4d">1. Рифма</w:t>
            </w:r>
          </w:p>
        </w:tc>
        <w:tc vyd:_id="vyd:00000000000048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2000000" vyd:_id="vyd:00000000000049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4a">Выбрать из двух слов то, которое рифмуется с образцом; затем придумать рифму, включая смешное несуществующее слово.</w:t>
            </w:r>
          </w:p>
        </w:tc>
        <w:tc vyd:_id="vyd:00000000000045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3000000" vyd:_id="vyd:00000000000046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47">«Кот»: рот или дом? Придумай рифму к «мышка».</w:t>
            </w:r>
          </w:p>
        </w:tc>
      </w:tr>
      <w:tr vyd:_id="vyd:0000000000003u">
        <w:tc vyd:_id="vyd:00000000000041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4000000" vyd:_id="vyd:00000000000042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43">2. Слова и слоги</w:t>
            </w:r>
          </w:p>
        </w:tc>
        <w:tc vyd:_id="vyd:0000000000003y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5000000" vyd:_id="vyd:0000000000003z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40">Посчитать слова в коротком предложении; разделить слово на слоги хлопками или точками на бумаге.</w:t>
            </w:r>
          </w:p>
        </w:tc>
        <w:tc vyd:_id="vyd:0000000000003v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6000000" vyd:_id="vyd:0000000000003w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x">«Кот спит» — два слова. «Ма-ли-на» — три части.</w:t>
            </w:r>
          </w:p>
        </w:tc>
      </w:tr>
      <w:tr vyd:_id="vyd:0000000000003k">
        <w:tc vyd:_id="vyd:0000000000003r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7000000" vyd:_id="vyd:0000000000003s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t">3. Первый звук</w:t>
            </w:r>
          </w:p>
        </w:tc>
        <w:tc vyd:_id="vyd:0000000000003o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8000000" vyd:_id="vyd:0000000000003p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q">Сравнить слова по начальному звуку и найти лишнее. Сначала использовать отчётливо различимые звуки.</w:t>
            </w:r>
          </w:p>
        </w:tc>
        <w:tc vyd:_id="vyd:0000000000003l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9000000" vyd:_id="vyd:0000000000003m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n">мак — мост — дом: два слова начинаются со [м].</w:t>
            </w:r>
          </w:p>
        </w:tc>
      </w:tr>
      <w:tr vyd:_id="vyd:0000000000003a">
        <w:tc vyd:_id="vyd:0000000000003h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A000000" vyd:_id="vyd:0000000000003i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j">4. Слияние</w:t>
            </w:r>
          </w:p>
        </w:tc>
        <w:tc vyd:_id="vyd:0000000000003e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B000000" vyd:_id="vyd:0000000000003f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g">Соединить медленно произнесённые слоги или звуки в целое слово.</w:t>
            </w:r>
          </w:p>
        </w:tc>
        <w:tc vyd:_id="vyd:0000000000003b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AC000000" vyd:_id="vyd:0000000000003c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d">«ма» + «ши» + «на» → «машина»; [с]—[о]—[к] → «сок».</w:t>
            </w:r>
          </w:p>
        </w:tc>
      </w:tr>
      <w:tr vyd:_id="vyd:00000000000030">
        <w:tc vyd:_id="vyd:00000000000037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D000000" vyd:_id="vyd:00000000000038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9">5. Разделение</w:t>
            </w:r>
          </w:p>
        </w:tc>
        <w:tc vyd:_id="vyd:00000000000034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E000000" vyd:_id="vyd:00000000000035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6">Разделить короткое знакомое слово на звуки, обозначая каждый звук точкой или пальцем.</w:t>
            </w:r>
          </w:p>
        </w:tc>
        <w:tc vyd:_id="vyd:00000000000031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AF000000" vyd:_id="vyd:00000000000032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33">«дом» → [д] [о] [м] — три звука.</w:t>
            </w:r>
          </w:p>
        </w:tc>
      </w:tr>
    </w:tbl>
    <w:p w14:paraId="B0000000" vyd:_id="vyd:0000000000002x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2y">Рабочий бланк и условный пример</w:t>
      </w:r>
    </w:p>
    <w:tbl vyd:_id="vyd:0000000000000g">
      <w:tblPr>
        <w:tblStyle w:val="Style_4"/>
        <w:tblW w:w="0" w:type="auto"/>
        <w:jc w:val="center"/>
        <w:tblBorders>
          <w:top w:val="single" w:color="D9D9D9" w:sz="6"/>
          <w:left w:val="single" w:color="D9D9D9" w:sz="6"/>
          <w:bottom w:val="single" w:color="D9D9D9" w:sz="6"/>
          <w:right w:val="single" w:color="D9D9D9" w:sz="6"/>
          <w:insideH w:val="single" w:color="D9D9D9" w:sz="6"/>
          <w:insideV w:val="single" w:color="D9D9D9" w:sz="6"/>
        </w:tblBorders>
        <w:tblLayout w:type="fixed"/>
      </w:tblPr>
      <w:tblGrid>
        <w:gridCol w:w="2098"/>
        <w:gridCol w:w="1417"/>
        <w:gridCol w:w="1587"/>
        <w:gridCol w:w="1531"/>
        <w:gridCol w:w="2665"/>
      </w:tblGrid>
      <w:tr vyd:_id="vyd:0000000000002h">
        <w:trPr>
          <w:tblHeader w:val="1"/>
        </w:trPr>
        <w:tc vyd:_id="vyd:0000000000002u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B1000000" vyd:_id="vyd:0000000000002v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2w">Задание</w:t>
            </w:r>
          </w:p>
        </w:tc>
        <w:tc vyd:_id="vyd:0000000000002r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B2000000" vyd:_id="vyd:0000000000002s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2t">Получается</w:t>
            </w:r>
          </w:p>
        </w:tc>
        <w:tc vyd:_id="vyd:0000000000002o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B3000000" vyd:_id="vyd:0000000000002p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2q">С подсказкой</w:t>
            </w:r>
          </w:p>
        </w:tc>
        <w:tc vyd:_id="vyd:0000000000002l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B4000000" vyd:_id="vyd:0000000000002m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2n">Пока трудно</w:t>
            </w:r>
          </w:p>
        </w:tc>
        <w:tc vyd:_id="vyd:0000000000002i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28465A"/>
            <w:tcMar>
              <w:top w:w="80" w:type="dxa"/>
              <w:bottom w:w="80" w:type="dxa"/>
            </w:tcMar>
            <w:vAlign w:val="center"/>
          </w:tcPr>
          <w:p w14:paraId="B5000000" vyd:_id="vyd:0000000000002j">
            <w:pPr>
              <w:widowControl w:val="1"/>
              <w:spacing w:after="0"/>
              <w:ind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FFFFFF"/>
                <w:b w:val="1"/>
                <w:i w:val="0"/>
              </w:rPr>
              <w:t vyd:_id="vyd:0000000000002k">Следующий шаг</w:t>
            </w:r>
          </w:p>
        </w:tc>
      </w:tr>
      <w:tr vyd:_id="vyd:00000000000023">
        <w:tc vyd:_id="vyd:0000000000002e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B6000000" vyd:_id="vyd:0000000000002f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2g">Рифма</w:t>
            </w:r>
          </w:p>
        </w:tc>
        <w:tc vyd:_id="vyd:0000000000002b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B7000000" vyd:_id="vyd:0000000000002c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2d">✓</w:t>
            </w:r>
          </w:p>
        </w:tc>
        <w:tc vyd:_id="vyd:00000000000029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B8000000" vyd:_id="vyd:0000000000002a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27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B9000000" vyd:_id="vyd:00000000000028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24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BA000000" vyd:_id="vyd:00000000000025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26">Перейти к самостоятельному подбору</w:t>
            </w:r>
          </w:p>
        </w:tc>
      </w:tr>
      <w:tr vyd:_id="vyd:0000000000001p">
        <w:tc vyd:_id="vyd:00000000000020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BB000000" vyd:_id="vyd:00000000000021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22">Слоги</w:t>
            </w:r>
          </w:p>
        </w:tc>
        <w:tc vyd:_id="vyd:0000000000001x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BC000000" vyd:_id="vyd:0000000000001y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z">✓</w:t>
            </w:r>
          </w:p>
        </w:tc>
        <w:tc vyd:_id="vyd:0000000000001v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BD000000" vyd:_id="vyd:0000000000001w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t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BE000000" vyd:_id="vyd:0000000000001u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q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BF000000" vyd:_id="vyd:0000000000001r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s">Слова из 3–4 слогов</w:t>
            </w:r>
          </w:p>
        </w:tc>
      </w:tr>
      <w:tr vyd:_id="vyd:0000000000001b">
        <w:tc vyd:_id="vyd:0000000000001m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C0000000" vyd:_id="vyd:0000000000001n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o">Первый звук</w:t>
            </w:r>
          </w:p>
        </w:tc>
        <w:tc vyd:_id="vyd:0000000000001k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C1000000" vyd:_id="vyd:0000000000001l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h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C2000000" vyd:_id="vyd:0000000000001i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j">✓</w:t>
            </w:r>
          </w:p>
        </w:tc>
        <w:tc vyd:_id="vyd:0000000000001f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C3000000" vyd:_id="vyd:0000000000001g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c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tcMar>
              <w:top w:w="80" w:type="dxa"/>
              <w:bottom w:w="80" w:type="dxa"/>
            </w:tcMar>
            <w:vAlign w:val="center"/>
          </w:tcPr>
          <w:p w14:paraId="C4000000" vyd:_id="vyd:0000000000001d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e">Сравнивать только два слова</w:t>
            </w:r>
          </w:p>
        </w:tc>
      </w:tr>
      <w:tr vyd:_id="vyd:0000000000000x">
        <w:tc vyd:_id="vyd:00000000000018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C5000000" vyd:_id="vyd:00000000000019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a">Слияние звуков</w:t>
            </w:r>
          </w:p>
        </w:tc>
        <w:tc vyd:_id="vyd:00000000000016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C6000000" vyd:_id="vyd:00000000000017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4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C7000000" vyd:_id="vyd:00000000000015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</w:p>
        </w:tc>
        <w:tc vyd:_id="vyd:00000000000011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C8000000" vyd:_id="vyd:00000000000012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3">✓</w:t>
            </w:r>
          </w:p>
        </w:tc>
        <w:tc vyd:_id="vyd:0000000000000y">
          <w:tcPr>
            <w:tcBorders>
              <w:top w:val="single" w:color="D9D9D9" w:sz="6"/>
              <w:start w:val="single" w:color="D9D9D9" w:sz="6"/>
              <w:bottom w:val="single" w:color="D9D9D9" w:sz="6"/>
              <w:end w:val="single" w:color="D9D9D9" w:sz="6"/>
            </w:tcBorders>
            <w:shd w:val="clear" w:fill="F7F9FA"/>
            <w:tcMar>
              <w:top w:w="80" w:type="dxa"/>
              <w:bottom w:w="80" w:type="dxa"/>
            </w:tcMar>
            <w:vAlign w:val="center"/>
          </w:tcPr>
          <w:p w14:paraId="C9000000" vyd:_id="vyd:0000000000000z">
            <w:pPr>
              <w:widowControl w:val="1"/>
              <w:spacing w:after="0" w:line="240" w:lineRule="auto"/>
              <w:ind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  <w:color w:val="000000"/>
                <w:b w:val="0"/>
                <w:i w:val="0"/>
              </w:rPr>
              <w:t vyd:_id="vyd:00000000000010">Сначала соединять слоги</w:t>
            </w:r>
          </w:p>
        </w:tc>
      </w:tr>
    </w:tbl>
    <w:p w14:paraId="CF000000" vyd:_id="vyd:0000000000000d">
      <w:pPr>
        <w:keepLines w:val="0"/>
        <w:widowControl w:val="1"/>
        <w:spacing w:after="6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0f">Какие итоги могут получиться.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0e" xml:space="preserve"> Профиль навыков часто бывает неравномерным: ребёнок легко слышит рифму и слоги, но пока не выделяет отдельный звук. Это означает, что полезно закреплять доступный уровень и двигаться от крупных единиц к мелким, а не делать вывод о способностях к чтению по одному заданию.</w:t>
      </w:r>
    </w:p>
    <w:p w14:paraId="D0000000" vyd:_id="vyd:0000000000000a">
      <w:pPr>
        <w:keepLines w:val="0"/>
        <w:widowControl w:val="1"/>
        <w:spacing w:after="40" w:before="0" w:line="259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0c">Как использовать результат.</w:t>
      </w:r>
      <w:r>
        <w:rPr>
          <w:rFonts w:ascii="Times New Roman" w:hAnsi="Times New Roman"/>
          <w:sz w:val="28"/>
          <w:color w:val="000000"/>
          <w:b w:val="0"/>
          <w:i w:val="0"/>
        </w:rPr>
        <w:t vyd:_id="vyd:0000000000000b" xml:space="preserve"> Включайте задания в дорогу, игру со словами и обсуждение имён или предметов вокруг. Не смешивайте звук и букву, не требуйте скорости и не переходите к сложному звуковому анализу, если ребёнок ещё не уверенно работает со слогами. Устойчивые трудности рассматривают вместе с общим развитием речи и, при необходимости, обсуждают со специалистом.</w:t>
      </w:r>
    </w:p>
    <w:p w14:paraId="D1000000" vyd:_id="vyd:00000000000003">
      <w:pPr>
        <w:shd w:val="clear" w:fill="FFFFFF"/>
        <w:spacing w:before="60" w:after="60"/>
        <w:ind w:start="0" w:end="0"/>
        <w:jc w:val="start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color w:val="000000"/>
          <w:b w:val="1"/>
          <w:i w:val="0"/>
        </w:rPr>
        <w:t vyd:_id="vyd:00000000000009">Источники:</w:t>
      </w:r>
      <w:r>
        <w:rPr>
          <w:rFonts w:ascii="Times New Roman" w:hAnsi="Times New Roman"/>
          <w:sz w:val="28"/>
        </w:rPr>
        <w:t vyd:_id="vyd:mv0q8sswkmn4hz" xml:space="preserve"> </w:t>
      </w:r>
    </w:p>
    <w:p w14:paraId="D1000000" vyd:_id="vyd:mv0q8u46qcbsor">
      <w:pPr>
        <w:numPr>
          <w:ilvl w:val="0"/>
          <w:numId w:val="12"/>
        </w:numPr>
        <w:shd w:val="clear" w:fill="FFFFFF"/>
        <w:spacing w:before="60" w:after="60"/>
        <w:ind w:start="390" w:end="0"/>
        <w:jc w:val="start"/>
        <w:rPr>
          <w:rFonts w:ascii="Times New Roman" w:hAnsi="Times New Roman"/>
          <w:sz w:val="28"/>
          <w:i w:val="1"/>
        </w:rPr>
      </w:pPr>
      <w:r>
        <w:rPr>
          <w:rFonts w:ascii="Times New Roman" w:hAnsi="Times New Roman"/>
          <w:sz w:val="28"/>
          <w:i w:val="1"/>
        </w:rPr>
        <w:t vyd:_id="vyd:mv0q8ndz3ymmld" xml:space="preserve">Institute of Education Sciences. What Works Clearinghouse. </w:t>
      </w:r>
      <w:r>
        <w:rPr>
          <w:rFonts w:ascii="Times New Roman" w:hAnsi="Times New Roman"/>
          <w:sz w:val="28"/>
          <w:i w:val="1"/>
        </w:rPr>
        <w:t vyd:_id="vyd:mv0q8ndzdilsvp">Phonological Awareness Training</w:t>
      </w:r>
      <w:r>
        <w:rPr>
          <w:rFonts w:ascii="Times New Roman" w:hAnsi="Times New Roman"/>
          <w:sz w:val="28"/>
          <w:i w:val="1"/>
        </w:rPr>
        <w:t vyd:_id="vyd:mv0q8ndyypsd7l" xml:space="preserve"> (Обучение фонологической осознанности) [Электронный ресурс]. — Текст : электронный</w:t>
      </w:r>
    </w:p>
    <w:p w14:paraId="D1000000" vyd:_id="vyd:mv0q9k2fw70gwx">
      <w:pPr>
        <w:numPr>
          <w:ilvl w:val="0"/>
          <w:numId w:val="12"/>
        </w:numPr>
        <w:shd w:val="clear" w:fill="FFFFFF"/>
        <w:spacing w:before="60" w:after="60"/>
        <w:ind w:start="390" w:end="0"/>
        <w:jc w:val="start"/>
        <w:rPr>
          <w:rFonts w:ascii="Times New Roman" w:hAnsi="Times New Roman"/>
          <w:sz w:val="28"/>
          <w:i w:val="1"/>
        </w:rPr>
      </w:pPr>
      <w:r>
        <w:rPr>
          <w:rFonts w:ascii="Times New Roman" w:hAnsi="Times New Roman"/>
          <w:sz w:val="28"/>
          <w:i w:val="1"/>
        </w:rPr>
        <w:t vyd:_id="vyd:mv0q8ndsaqwul8" xml:space="preserve">American Speech-Language-Hearing Association. </w:t>
      </w:r>
      <w:r>
        <w:rPr>
          <w:rFonts w:ascii="Times New Roman" w:hAnsi="Times New Roman"/>
          <w:sz w:val="28"/>
          <w:i w:val="1"/>
        </w:rPr>
        <w:t vyd:_id="vyd:mv0q8ndp6tucbo">Communication Milestones: 4 to 5 Years</w:t>
      </w:r>
      <w:r>
        <w:rPr>
          <w:rFonts w:ascii="Times New Roman" w:hAnsi="Times New Roman"/>
          <w:sz w:val="28"/>
          <w:i w:val="1"/>
        </w:rPr>
        <w:t vyd:_id="vyd:mv0q8ndob0453r" xml:space="preserve"> (Этапы развития коммуникации: от 4 до 5 лет) [Электронный ресурс]. — Текст : электронный</w:t>
      </w:r>
    </w:p>
    <w:p w14:paraId="D1000000" vyd:_id="vyd:mv0q8ndlf7ocof">
      <w:pPr>
        <w:widowControl w:val="1"/>
        <w:spacing w:after="0" w:before="100" w:line="240" w:lineRule="auto"/>
        <w:ind/>
        <w:rPr>
          <w:rFonts w:ascii="Times New Roman" w:hAnsi="Times New Roman"/>
          <w:sz w:val="28"/>
        </w:rPr>
      </w:pPr>
    </w:p>
    <w:sectPr vyd:_id="vyd:00000000000002">
      <w:type w:val="nextPage"/>
      <w:pgSz w:w="11906" w:h="16838" w:orient="portrait"/>
      <w:pgMar w:top="1020" w:right="1134" w:bottom="964" w:left="1134" w:header="720" w:footer="720" w:gutter="0"/>
      <w:cols w:equalWidth="1" w:space="1350" w:sep="0"/>
      <w:vAlign w:val="top"/>
      <w:titlePg w:val="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w="http://schemas.openxmlformats.org/wordprocessingml/2006/main" xmlns:mc="http://schemas.openxmlformats.org/markup-compatibility/2006" xmlns:x14="http://schemas.microsoft.com/office/spreadsheetml/2009/9/main" xmlns:w15="http://schemas.microsoft.com/office/word/2012/wordml" xmlns:unk2="http://ncloudtech.com/ooxml" xmlns:unk1="http://ncloudtech.com" xmlns:w14="http://schemas.microsoft.com/office/word/2010/wordml" mc:Ignorable="unk1 unk2 w14 x14 w15">
  <w:abstractNum w:abstractNumId="0">
    <w:lvl w:ilvl="0">
      <w:start w:val="1"/>
      <w:numFmt w:val="bullet"/>
      <w:pStyle w:val="Style_25"/>
      <w:lvlText w:val=""/>
      <w:lvlJc w:val="start"/>
      <w:pPr>
        <w:widowControl w:val="1"/>
        <w:tabs>
          <w:tab w:leader="none" w:pos="1080" w:val="left"/>
        </w:tabs>
        <w:ind w:start="1080" w:hanging="360"/>
      </w:pPr>
      <w:rPr>
        <w:rFonts w:ascii="Symbol" w:hAnsi="Symbol"/>
      </w:rPr>
    </w:lvl>
  </w:abstractNum>
  <w:abstractNum w:abstractNumId="1">
    <w:lvl w:ilvl="0">
      <w:start w:val="1"/>
      <w:numFmt w:val="decimal"/>
      <w:pStyle w:val="Style_27"/>
      <w:lvlText w:val="%1."/>
      <w:lvlJc w:val="start"/>
      <w:pPr>
        <w:widowControl w:val="1"/>
        <w:tabs>
          <w:tab w:leader="none" w:pos="720" w:val="left"/>
        </w:tabs>
        <w:ind w:start="720" w:hanging="360"/>
      </w:pPr>
    </w:lvl>
  </w:abstractNum>
  <w:abstractNum w:abstractNumId="10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1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12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2">
    <w:lvl w:ilvl="0">
      <w:start w:val="1"/>
      <w:numFmt w:val="bullet"/>
      <w:pStyle w:val="Style_28"/>
      <w:lvlText w:val=""/>
      <w:lvlJc w:val="start"/>
      <w:pPr>
        <w:widowControl w:val="1"/>
        <w:tabs>
          <w:tab w:leader="none" w:pos="360" w:val="left"/>
        </w:tabs>
        <w:ind w:start="360" w:hanging="360"/>
      </w:pPr>
      <w:rPr>
        <w:rFonts w:ascii="Symbol" w:hAnsi="Symbol"/>
      </w:rPr>
    </w:lvl>
  </w:abstractNum>
  <w:abstractNum w:abstractNumId="3">
    <w:lvl w:ilvl="0">
      <w:start w:val="1"/>
      <w:numFmt w:val="decimal"/>
      <w:pStyle w:val="Style_32"/>
      <w:lvlText w:val="%1."/>
      <w:lvlJc w:val="start"/>
      <w:pPr>
        <w:widowControl w:val="1"/>
        <w:tabs>
          <w:tab w:leader="none" w:pos="360" w:val="left"/>
        </w:tabs>
        <w:ind w:start="360" w:hanging="360"/>
      </w:pPr>
    </w:lvl>
  </w:abstractNum>
  <w:abstractNum w:abstractNumId="4">
    <w:lvl w:ilvl="0">
      <w:start w:val="1"/>
      <w:numFmt w:val="bullet"/>
      <w:pStyle w:val="Style_47"/>
      <w:lvlText w:val=""/>
      <w:lvlJc w:val="start"/>
      <w:pPr>
        <w:widowControl w:val="1"/>
        <w:tabs>
          <w:tab w:leader="none" w:pos="720" w:val="left"/>
        </w:tabs>
        <w:ind w:start="720" w:hanging="360"/>
      </w:pPr>
      <w:rPr>
        <w:rFonts w:ascii="Symbol" w:hAnsi="Symbol"/>
      </w:rPr>
    </w:lvl>
  </w:abstractNum>
  <w:abstractNum w:abstractNumId="5">
    <w:lvl w:ilvl="0">
      <w:start w:val="1"/>
      <w:numFmt w:val="decimal"/>
      <w:pStyle w:val="Style_51"/>
      <w:lvlText w:val="%1."/>
      <w:lvlJc w:val="start"/>
      <w:pPr>
        <w:widowControl w:val="1"/>
        <w:tabs>
          <w:tab w:leader="none" w:pos="1080" w:val="left"/>
        </w:tabs>
        <w:ind w:start="1080" w:hanging="360"/>
      </w:pPr>
    </w:lvl>
  </w:abstractNum>
  <w:abstractNum w:abstractNumId="6">
    <w:multiLevelType w:val="hybridMultilevel"/>
    <w:lvl w:ilvl="0">
      <w:start w:val="1"/>
      <w:numFmt w:val="bullet"/>
      <w:lvlText w:val="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7">
    <w:multiLevelType w:val="hybridMultilevel"/>
    <w:lvl w:ilvl="0">
      <w:start w:val="1"/>
      <w:numFmt w:val="bullet"/>
      <w:lvlText w:val="✓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✓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✓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abstractNum w:abstractNumId="8">
    <w:multiLevelType w:val="hybridMultilevel"/>
    <w:lvl w:ilvl="0">
      <w:start w:val="1"/>
      <w:numFmt w:val="decimal"/>
      <w:lvlText w:val="%1."/>
      <w:lvlJc w:val="start"/>
      <w:pPr>
        <w:ind w:start="720" w:hanging="360"/>
      </w:pPr>
    </w:lvl>
    <w:lvl w:ilvl="1">
      <w:start w:val="1"/>
      <w:numFmt w:val="lowerLetter"/>
      <w:lvlText w:val="%2."/>
      <w:lvlJc w:val="start"/>
      <w:pPr>
        <w:ind w:start="1440" w:hanging="360"/>
      </w:pPr>
    </w:lvl>
    <w:lvl w:ilvl="2">
      <w:start w:val="1"/>
      <w:numFmt w:val="lowerRoman"/>
      <w:lvlText w:val="%3."/>
      <w:lvlJc w:val="end"/>
      <w:pPr>
        <w:ind w:start="2160" w:hanging="180"/>
      </w:pPr>
    </w:lvl>
    <w:lvl w:ilvl="3">
      <w:start w:val="1"/>
      <w:numFmt w:val="decimal"/>
      <w:lvlText w:val="%4."/>
      <w:lvlJc w:val="start"/>
      <w:pPr>
        <w:ind w:start="2880" w:hanging="360"/>
      </w:pPr>
    </w:lvl>
    <w:lvl w:ilvl="4">
      <w:start w:val="1"/>
      <w:numFmt w:val="lowerLetter"/>
      <w:lvlText w:val="%5."/>
      <w:lvlJc w:val="start"/>
      <w:pPr>
        <w:ind w:start="3600" w:hanging="360"/>
      </w:pPr>
    </w:lvl>
    <w:lvl w:ilvl="5">
      <w:start w:val="1"/>
      <w:numFmt w:val="lowerRoman"/>
      <w:lvlText w:val="%6."/>
      <w:lvlJc w:val="end"/>
      <w:pPr>
        <w:ind w:start="4320" w:hanging="180"/>
      </w:pPr>
    </w:lvl>
    <w:lvl w:ilvl="6">
      <w:start w:val="1"/>
      <w:numFmt w:val="decimal"/>
      <w:lvlText w:val="%7."/>
      <w:lvlJc w:val="start"/>
      <w:pPr>
        <w:ind w:start="5040" w:hanging="360"/>
      </w:pPr>
    </w:lvl>
    <w:lvl w:ilvl="7">
      <w:start w:val="1"/>
      <w:numFmt w:val="lowerLetter"/>
      <w:lvlText w:val="%8."/>
      <w:lvlJc w:val="start"/>
      <w:pPr>
        <w:ind w:start="5760" w:hanging="360"/>
      </w:pPr>
    </w:lvl>
    <w:lvl w:ilvl="8">
      <w:start w:val="1"/>
      <w:numFmt w:val="lowerRoman"/>
      <w:lvlText w:val="%9."/>
      <w:lvlJc w:val="end"/>
      <w:pPr>
        <w:ind w:start="6480" w:hanging="180"/>
      </w:pPr>
    </w:lvl>
  </w:abstractNum>
  <w:abstractNum w:abstractNumId="9">
    <w:multiLevelType w:val="hybridMultilevel"/>
    <w:lvl w:ilvl="0">
      <w:start w:val="1"/>
      <w:numFmt w:val="bullet"/>
      <w:lvlText w:val="●"/>
      <w:lvlJc w:val="start"/>
      <w:pPr>
        <w:ind w:start="720" w:hanging="360"/>
      </w:pPr>
    </w:lvl>
    <w:lvl w:ilvl="1">
      <w:start w:val="1"/>
      <w:numFmt w:val="bullet"/>
      <w:lvlText w:val="○"/>
      <w:lvlJc w:val="start"/>
      <w:pPr>
        <w:ind w:start="1440" w:hanging="360"/>
      </w:pPr>
    </w:lvl>
    <w:lvl w:ilvl="2">
      <w:start w:val="1"/>
      <w:numFmt w:val="bullet"/>
      <w:lvlText w:val="■"/>
      <w:lvlJc w:val="start"/>
      <w:pPr>
        <w:ind w:start="2160" w:hanging="360"/>
      </w:pPr>
    </w:lvl>
    <w:lvl w:ilvl="3">
      <w:start w:val="1"/>
      <w:numFmt w:val="bullet"/>
      <w:lvlText w:val="●"/>
      <w:lvlJc w:val="start"/>
      <w:pPr>
        <w:ind w:start="2880" w:hanging="360"/>
      </w:pPr>
    </w:lvl>
    <w:lvl w:ilvl="4">
      <w:start w:val="1"/>
      <w:numFmt w:val="bullet"/>
      <w:lvlText w:val="○"/>
      <w:lvlJc w:val="start"/>
      <w:pPr>
        <w:ind w:start="3600" w:hanging="360"/>
      </w:pPr>
    </w:lvl>
    <w:lvl w:ilvl="5">
      <w:start w:val="1"/>
      <w:numFmt w:val="bullet"/>
      <w:lvlText w:val="■"/>
      <w:lvlJc w:val="start"/>
      <w:pPr>
        <w:ind w:start="4320" w:hanging="360"/>
      </w:pPr>
    </w:lvl>
    <w:lvl w:ilvl="6">
      <w:start w:val="1"/>
      <w:numFmt w:val="bullet"/>
      <w:lvlText w:val="●"/>
      <w:lvlJc w:val="start"/>
      <w:pPr>
        <w:ind w:start="5040" w:hanging="360"/>
      </w:pPr>
    </w:lvl>
    <w:lvl w:ilvl="7">
      <w:start w:val="1"/>
      <w:numFmt w:val="bullet"/>
      <w:lvlText w:val="○"/>
      <w:lvlJc w:val="start"/>
      <w:pPr>
        <w:ind w:start="5760" w:hanging="360"/>
      </w:pPr>
    </w:lvl>
    <w:lvl w:ilvl="8">
      <w:start w:val="1"/>
      <w:numFmt w:val="bullet"/>
      <w:lvlText w:val="■"/>
      <w:lvlJc w:val="start"/>
      <w:pPr>
        <w:ind w:start="6480" w:hanging="360"/>
      </w:pPr>
    </w:lvl>
  </w:abstractNum>
  <w:num w:numId="1">
    <w:abstractNumId w:val="0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w="http://schemas.openxmlformats.org/wordprocessingml/2006/main" xmlns:mc="http://schemas.openxmlformats.org/markup-compatibility/2006" xmlns:x14="http://schemas.microsoft.com/office/spreadsheetml/2009/9/main" xmlns:w15="http://schemas.microsoft.com/office/word/2012/wordml" xmlns:unk2="http://ncloudtech.com/ooxml" xmlns:unk1="http://ncloudtech.com" xmlns:w14="http://schemas.microsoft.com/office/word/2010/wordml" mc:Ignorable="unk1 unk2 w14 x14 w15">
  <w:displayBackgroundShape w:val="1"/>
  <w:defaultTabStop w:val="720"/>
  <w:evenAndOddHeaders w:val="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w="http://schemas.openxmlformats.org/wordprocessingml/2006/main">
  <w:docDefaults>
    <w:rPrDefault>
      <w:rPr>
        <w:rFonts w:asciiTheme="minorAscii" w:hAnsiTheme="minorHAnsi"/>
        <w:sz w:val="22"/>
        <w:color w:val="000000"/>
        <w:spacing w:val="0"/>
        <w:lang w:val="en-US"/>
      </w:rPr>
    </w:rPrDefault>
    <w:pPrDefault>
      <w:pPr>
        <w:widowControl w:val="1"/>
        <w:spacing w:after="200" w:before="0" w:line="276" w:lineRule="auto"/>
        <w:ind w:start="0" w:end="0" w:firstLine="0"/>
        <w:jc w:val="start"/>
      </w:pPr>
    </w:pPrDefault>
  </w:docDefaults>
  <w:latentStyles w:defSemiHidden="1" w:defUnhideWhenUsed="1" w:count="25">
    <w:lsdException w:name="Endnote" w:semiHidden="0" w:unhideWhenUsed="0" w:qFormat="0"/>
    <w:lsdException w:name="Footnote" w:semiHidden="0" w:unhideWhenUsed="0" w:qFormat="0"/>
    <w:lsdException w:name="Header and Footer" w:semiHidden="0" w:unhideWhenUsed="0" w:qFormat="0"/>
    <w:lsdException w:name="heading 1" w:uiPriority="9" w:semiHidden="0" w:unhideWhenUsed="0" w:qFormat="1"/>
    <w:lsdException w:name="heading 2" w:uiPriority="9" w:semiHidden="0" w:unhideWhenUsed="0" w:qFormat="1"/>
    <w:lsdException w:name="heading 3" w:uiPriority="9" w:semiHidden="0" w:unhideWhenUsed="0" w:qFormat="1"/>
    <w:lsdException w:name="heading 4" w:uiPriority="9" w:semiHidden="0" w:unhideWhenUsed="0" w:qFormat="1"/>
    <w:lsdException w:name="heading 5" w:uiPriority="9" w:semiHidden="0" w:unhideWhenUsed="0" w:qFormat="1"/>
    <w:lsdException w:name="heading 6" w:uiPriority="9" w:semiHidden="0" w:unhideWhenUsed="0" w:qFormat="1"/>
    <w:lsdException w:name="heading 7" w:uiPriority="9" w:semiHidden="0" w:unhideWhenUsed="0" w:qFormat="1"/>
    <w:lsdException w:name="heading 8" w:uiPriority="9" w:semiHidden="0" w:unhideWhenUsed="0" w:qFormat="1"/>
    <w:lsdException w:name="heading 9" w:uiPriority="9" w:semiHidden="0" w:unhideWhenUsed="0" w:qFormat="1"/>
    <w:lsdException w:name="Hyperlink" w:semiHidden="0" w:unhideWhenUsed="0" w:qFormat="0"/>
    <w:lsdException w:name="Normal" w:uiPriority="0" w:semiHidden="0" w:unhideWhenUsed="0" w:qFormat="1"/>
    <w:lsdException w:name="Subtitle" w:uiPriority="11" w:semiHidden="0" w:unhideWhenUsed="0" w:qFormat="1"/>
    <w:lsdException w:name="Title" w:uiPriority="10" w:semiHidden="0" w:unhideWhenUsed="0" w:qFormat="1"/>
    <w:lsdException w:name="toc 1" w:uiPriority="39" w:semiHidden="0" w:unhideWhenUsed="0" w:qFormat="0"/>
    <w:lsdException w:name="toc 2" w:uiPriority="39" w:semiHidden="0" w:unhideWhenUsed="0" w:qFormat="0"/>
    <w:lsdException w:name="toc 3" w:uiPriority="39" w:semiHidden="0" w:unhideWhenUsed="0" w:qFormat="0"/>
    <w:lsdException w:name="toc 4" w:uiPriority="39" w:semiHidden="0" w:unhideWhenUsed="0" w:qFormat="0"/>
    <w:lsdException w:name="toc 5" w:uiPriority="39" w:semiHidden="0" w:unhideWhenUsed="0" w:qFormat="0"/>
    <w:lsdException w:name="toc 6" w:uiPriority="39" w:semiHidden="0" w:unhideWhenUsed="0" w:qFormat="0"/>
    <w:lsdException w:name="toc 7" w:uiPriority="39" w:semiHidden="0" w:unhideWhenUsed="0" w:qFormat="0"/>
    <w:lsdException w:name="toc 8" w:uiPriority="39" w:semiHidden="0" w:unhideWhenUsed="0" w:qFormat="0"/>
    <w:lsdException w:name="toc 9" w:uiPriority="39" w:semiHidden="0" w:unhideWhenUsed="0" w:qFormat="0"/>
  </w:latentStyles>
  <w:style w:type="table" w:styleId="Style_100">
    <w:name w:val="Light Grid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1" w:sz="8"/>
        <w:left w:val="single" w:themeColor="accent1" w:sz="8"/>
        <w:bottom w:val="single" w:themeColor="accent1" w:sz="8"/>
        <w:right w:val="single" w:themeColor="accent1" w:sz="8"/>
        <w:insideH w:val="single" w:themeColor="accent1" w:sz="8"/>
        <w:insideV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1">
    <w:name w:val="Medium Grid 2 Accent 4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4" w:sz="8"/>
        <w:left w:val="single" w:themeColor="accent4" w:sz="8"/>
        <w:bottom w:val="single" w:themeColor="accent4" w:sz="8"/>
        <w:right w:val="single" w:themeColor="accent4" w:sz="8"/>
        <w:insideH w:val="single" w:themeColor="accent4" w:sz="8"/>
        <w:insideV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2">
    <w:name w:val="Medium List 1 Accent 6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6" w:sz="8"/>
        <w:bottom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3">
    <w:name w:val="Medium Grid 1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5" w:themeTint="BF" w:sz="8"/>
        <w:left w:val="single" w:themeColor="accent5" w:themeTint="BF" w:sz="8"/>
        <w:bottom w:val="single" w:themeColor="accent5" w:themeTint="BF" w:sz="8"/>
        <w:right w:val="single" w:themeColor="accent5" w:themeTint="BF" w:sz="8"/>
        <w:insideH w:val="single" w:themeColor="accent5" w:themeTint="BF" w:sz="8"/>
        <w:insideV w:val="single" w:themeColor="accent5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4">
    <w:name w:val="Medium Grid 1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3" w:themeTint="BF" w:sz="8"/>
        <w:left w:val="single" w:themeColor="accent3" w:themeTint="BF" w:sz="8"/>
        <w:bottom w:val="single" w:themeColor="accent3" w:themeTint="BF" w:sz="8"/>
        <w:right w:val="single" w:themeColor="accent3" w:themeTint="BF" w:sz="8"/>
        <w:insideH w:val="single" w:themeColor="accent3" w:themeTint="BF" w:sz="8"/>
        <w:insideV w:val="single" w:themeColor="accent3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5">
    <w:name w:val="Light List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5" w:sz="8"/>
        <w:left w:val="single" w:themeColor="accent5" w:sz="8"/>
        <w:bottom w:val="single" w:themeColor="accent5" w:sz="8"/>
        <w:right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6">
    <w:name w:val="Colorful Shading Accent 4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3" w:sz="24"/>
        <w:left w:val="single" w:themeColor="accent4" w:sz="4"/>
        <w:bottom w:val="single" w:themeColor="accent4" w:sz="4"/>
        <w:right w:val="single" w:themeColor="accent4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7">
    <w:name w:val="Light Grid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text1" w:sz="8"/>
        <w:left w:val="single" w:themeColor="text1" w:sz="8"/>
        <w:bottom w:val="single" w:themeColor="text1" w:sz="8"/>
        <w:right w:val="single" w:themeColor="text1" w:sz="8"/>
        <w:insideH w:val="single" w:themeColor="text1" w:sz="8"/>
        <w:insideV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8">
    <w:name w:val="Medium List 2 Accent 1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1" w:sz="8"/>
        <w:left w:val="single" w:themeColor="accent1" w:sz="8"/>
        <w:bottom w:val="single" w:themeColor="accent1" w:sz="8"/>
        <w:right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09">
    <w:name w:val="Medium Grid 2 Accent 6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6" w:sz="8"/>
        <w:left w:val="single" w:themeColor="accent6" w:sz="8"/>
        <w:bottom w:val="single" w:themeColor="accent6" w:sz="8"/>
        <w:right w:val="single" w:themeColor="accent6" w:sz="8"/>
        <w:insideH w:val="single" w:themeColor="accent6" w:sz="8"/>
        <w:insideV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0_ch">
    <w:name w:val="toc 6"/>
    <w:link w:val="Style_10_ch"/>
    <w:rPr>
      <w:rFonts w:ascii="XO Thames" w:hAnsi="XO Thames"/>
      <w:sz w:val="28"/>
    </w:rPr>
  </w:style>
  <w:style w:type="table" w:styleId="Style_110">
    <w:name w:val="Medium Grid 1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4" w:themeTint="BF" w:sz="8"/>
        <w:left w:val="single" w:themeColor="accent4" w:themeTint="BF" w:sz="8"/>
        <w:bottom w:val="single" w:themeColor="accent4" w:themeTint="BF" w:sz="8"/>
        <w:right w:val="single" w:themeColor="accent4" w:themeTint="BF" w:sz="8"/>
        <w:insideH w:val="single" w:themeColor="accent4" w:themeTint="BF" w:sz="8"/>
        <w:insideV w:val="single" w:themeColor="accent4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1">
    <w:name w:val="Medium Shading 1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3" w:themeTint="BF" w:sz="8"/>
        <w:left w:val="single" w:themeColor="accent3" w:themeTint="BF" w:sz="8"/>
        <w:bottom w:val="single" w:themeColor="accent3" w:themeTint="BF" w:sz="8"/>
        <w:right w:val="single" w:themeColor="accent3" w:themeTint="BF" w:sz="8"/>
        <w:insideH w:val="single" w:themeColor="accent3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2">
    <w:name w:val="Dark List Accent 6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13">
    <w:name w:val="Light Grid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2" w:sz="8"/>
        <w:left w:val="single" w:themeColor="accent2" w:sz="8"/>
        <w:bottom w:val="single" w:themeColor="accent2" w:sz="8"/>
        <w:right w:val="single" w:themeColor="accent2" w:sz="8"/>
        <w:insideH w:val="single" w:themeColor="accent2" w:sz="8"/>
        <w:insideV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4">
    <w:name w:val="Medium List 1 Accent 3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3" w:sz="8"/>
        <w:bottom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5">
    <w:name w:val="Colorful Grid Accent 2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6">
    <w:name w:val="Light Shading Accent 4"/>
    <w:basedOn w:val="Style_4"/>
    <w:pPr>
      <w:widowControl w:val="1"/>
      <w:spacing w:after="0" w:line="240" w:lineRule="auto"/>
      <w:ind/>
    </w:pPr>
    <w:rPr>
      <w:color w:val="604A7B" w:themeColor="accent4" w:themeShade="BF"/>
    </w:rPr>
    <w:tblPr>
      <w:tblInd w:w="0" w:type="dxa"/>
      <w:tblBorders>
        <w:top w:val="single" w:themeColor="accent4" w:sz="8"/>
        <w:bottom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7">
    <w:name w:val="Light List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3" w:sz="8"/>
        <w:left w:val="single" w:themeColor="accent3" w:sz="8"/>
        <w:bottom w:val="single" w:themeColor="accent3" w:sz="8"/>
        <w:right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8">
    <w:name w:val="Medium Shading 2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19">
    <w:name w:val="Medium List 2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text1" w:sz="8"/>
        <w:left w:val="single" w:themeColor="text1" w:sz="8"/>
        <w:bottom w:val="single" w:themeColor="text1" w:sz="8"/>
        <w:right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1_ch">
    <w:name w:val="toc 7"/>
    <w:link w:val="Style_11_ch"/>
    <w:rPr>
      <w:rFonts w:ascii="XO Thames" w:hAnsi="XO Thames"/>
      <w:sz w:val="28"/>
    </w:rPr>
  </w:style>
  <w:style w:type="table" w:styleId="Style_120">
    <w:name w:val="Colorful Grid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1">
    <w:name w:val="Medium Grid 1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6" w:themeTint="BF" w:sz="8"/>
        <w:left w:val="single" w:themeColor="accent6" w:themeTint="BF" w:sz="8"/>
        <w:bottom w:val="single" w:themeColor="accent6" w:themeTint="BF" w:sz="8"/>
        <w:right w:val="single" w:themeColor="accent6" w:themeTint="BF" w:sz="8"/>
        <w:insideH w:val="single" w:themeColor="accent6" w:themeTint="BF" w:sz="8"/>
        <w:insideV w:val="single" w:themeColor="accent6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2">
    <w:name w:val="Light Shading Accent 1"/>
    <w:basedOn w:val="Style_4"/>
    <w:pPr>
      <w:widowControl w:val="1"/>
      <w:spacing w:after="0" w:line="240" w:lineRule="auto"/>
      <w:ind/>
    </w:pPr>
    <w:rPr>
      <w:color w:val="376092" w:themeColor="accent1" w:themeShade="BF"/>
    </w:rPr>
    <w:tblPr>
      <w:tblInd w:w="0" w:type="dxa"/>
      <w:tblBorders>
        <w:top w:val="single" w:themeColor="accent1" w:sz="8"/>
        <w:bottom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3">
    <w:name w:val="Medium Grid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text1" w:themeTint="BF" w:sz="8"/>
        <w:left w:val="single" w:themeColor="text1" w:themeTint="BF" w:sz="8"/>
        <w:bottom w:val="single" w:themeColor="text1" w:themeTint="BF" w:sz="8"/>
        <w:right w:val="single" w:themeColor="text1" w:themeTint="BF" w:sz="8"/>
        <w:insideH w:val="single" w:themeColor="text1" w:themeTint="BF" w:sz="8"/>
        <w:insideV w:val="single" w:themeColor="text1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4">
    <w:name w:val="Colorful Shading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2" w:sz="24"/>
        <w:left w:val="single" w:themeColor="text1" w:sz="4"/>
        <w:bottom w:val="single" w:themeColor="text1" w:sz="4"/>
        <w:right w:val="single" w:themeColor="text1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5">
    <w:name w:val="Dark List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26">
    <w:name w:val="Colorful Grid Accent 5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7">
    <w:name w:val="Colorful List Accent 1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28">
    <w:name w:val="Medium Grid 3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29">
    <w:name w:val="Dark List Accent 2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2_ch">
    <w:name w:val="List Continue"/>
    <w:basedOn w:val="Style_5_ch"/>
    <w:link w:val="Style_12_ch"/>
  </w:style>
  <w:style w:type="table" w:styleId="Style_130">
    <w:name w:val="Colorful Grid Accent 1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1">
    <w:name w:val="Colorful Grid Accent 4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2">
    <w:name w:val="Medium Shading 2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3">
    <w:name w:val="Light List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6" w:sz="8"/>
        <w:left w:val="single" w:themeColor="accent6" w:sz="8"/>
        <w:bottom w:val="single" w:themeColor="accent6" w:sz="8"/>
        <w:right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4">
    <w:name w:val="Medium List 1 Accent 4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4" w:sz="8"/>
        <w:bottom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5">
    <w:name w:val="Light Grid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5" w:sz="8"/>
        <w:left w:val="single" w:themeColor="accent5" w:sz="8"/>
        <w:bottom w:val="single" w:themeColor="accent5" w:sz="8"/>
        <w:right w:val="single" w:themeColor="accent5" w:sz="8"/>
        <w:insideH w:val="single" w:themeColor="accent5" w:sz="8"/>
        <w:insideV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6">
    <w:name w:val="Dark List Accent 1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37">
    <w:name w:val="Colorful Shading Accent 6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5" w:sz="24"/>
        <w:left w:val="single" w:themeColor="accent6" w:sz="4"/>
        <w:bottom w:val="single" w:themeColor="accent6" w:sz="4"/>
        <w:right w:val="single" w:themeColor="accent6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8">
    <w:name w:val="Medium Grid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39">
    <w:name w:val="Medium Grid 3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3_ch">
    <w:name w:val="Quote"/>
    <w:basedOn w:val="Style_5_ch"/>
    <w:link w:val="Style_13_ch"/>
    <w:rPr>
      <w:color w:val="000000" w:themeColor="text1"/>
      <w:i w:val="1"/>
    </w:rPr>
  </w:style>
  <w:style w:type="table" w:styleId="Style_140">
    <w:name w:val="Colorful Shading Accent 3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4" w:sz="24"/>
        <w:left w:val="single" w:themeColor="accent3" w:sz="4"/>
        <w:bottom w:val="single" w:themeColor="accent3" w:sz="4"/>
        <w:right w:val="single" w:themeColor="accent3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1">
    <w:name w:val="Colorful List Accent 4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42">
    <w:name w:val="Medium Shading 1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1" w:themeTint="BF" w:sz="8"/>
        <w:left w:val="single" w:themeColor="accent1" w:themeTint="BF" w:sz="8"/>
        <w:bottom w:val="single" w:themeColor="accent1" w:themeTint="BF" w:sz="8"/>
        <w:right w:val="single" w:themeColor="accent1" w:themeTint="BF" w:sz="8"/>
        <w:insideH w:val="single" w:themeColor="accent1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3">
    <w:name w:val="Colorful List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44">
    <w:name w:val="Colorful Grid Accent 6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5">
    <w:name w:val="Light List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2" w:sz="8"/>
        <w:left w:val="single" w:themeColor="accent2" w:sz="8"/>
        <w:bottom w:val="single" w:themeColor="accent2" w:sz="8"/>
        <w:right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6">
    <w:name w:val="Medium Grid 2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text1" w:sz="8"/>
        <w:left w:val="single" w:themeColor="text1" w:sz="8"/>
        <w:bottom w:val="single" w:themeColor="text1" w:sz="8"/>
        <w:right w:val="single" w:themeColor="text1" w:sz="8"/>
        <w:insideH w:val="single" w:themeColor="text1" w:sz="8"/>
        <w:insideV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7">
    <w:name w:val="Medium Shading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text1" w:themeTint="BF" w:sz="8"/>
        <w:left w:val="single" w:themeColor="text1" w:themeTint="BF" w:sz="8"/>
        <w:bottom w:val="single" w:themeColor="text1" w:themeTint="BF" w:sz="8"/>
        <w:right w:val="single" w:themeColor="text1" w:themeTint="BF" w:sz="8"/>
        <w:insideH w:val="single" w:themeColor="text1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8">
    <w:name w:val="Light List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4" w:sz="8"/>
        <w:left w:val="single" w:themeColor="accent4" w:sz="8"/>
        <w:bottom w:val="single" w:themeColor="accent4" w:sz="8"/>
        <w:right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49">
    <w:name w:val="Dark List Accent 3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4_ch">
    <w:name w:val="Endnote"/>
    <w:link w:val="Style_14_ch"/>
    <w:rPr>
      <w:rFonts w:ascii="XO Thames" w:hAnsi="XO Thames"/>
      <w:sz w:val="22"/>
    </w:rPr>
  </w:style>
  <w:style w:type="table" w:styleId="Style_150">
    <w:name w:val="Medium Grid 2 Accent 2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2" w:sz="8"/>
        <w:left w:val="single" w:themeColor="accent2" w:sz="8"/>
        <w:bottom w:val="single" w:themeColor="accent2" w:sz="8"/>
        <w:right w:val="single" w:themeColor="accent2" w:sz="8"/>
        <w:insideH w:val="single" w:themeColor="accent2" w:sz="8"/>
        <w:insideV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1">
    <w:name w:val="Medium Shading 2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2">
    <w:name w:val="Light Shading Accent 6"/>
    <w:basedOn w:val="Style_4"/>
    <w:pPr>
      <w:widowControl w:val="1"/>
      <w:spacing w:after="0" w:line="240" w:lineRule="auto"/>
      <w:ind/>
    </w:pPr>
    <w:rPr>
      <w:color w:val="E46C0A" w:themeColor="accent6" w:themeShade="BF"/>
    </w:rPr>
    <w:tblPr>
      <w:tblInd w:w="0" w:type="dxa"/>
      <w:tblBorders>
        <w:top w:val="single" w:themeColor="accent6" w:sz="8"/>
        <w:bottom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3">
    <w:name w:val="Medium Grid 3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4">
    <w:name w:val="Light Shading"/>
    <w:basedOn w:val="Style_4"/>
    <w:pPr>
      <w:widowControl w:val="1"/>
      <w:spacing w:after="0" w:line="240" w:lineRule="auto"/>
      <w:ind/>
    </w:pPr>
    <w:rPr>
      <w:color w:val="000000" w:themeColor="text1" w:themeShade="BF"/>
    </w:rPr>
    <w:tblPr>
      <w:tblInd w:w="0" w:type="dxa"/>
      <w:tblBorders>
        <w:top w:val="single" w:themeColor="text1" w:sz="8"/>
        <w:bottom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5">
    <w:name w:val="Medium List 1 Accent 1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1" w:sz="8"/>
        <w:bottom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156">
    <w:name w:val="Colorful List Accent 3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157">
    <w:name w:val="Medium Shading 1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5" w:themeTint="BF" w:sz="8"/>
        <w:left w:val="single" w:themeColor="accent5" w:themeTint="BF" w:sz="8"/>
        <w:bottom w:val="single" w:themeColor="accent5" w:themeTint="BF" w:sz="8"/>
        <w:right w:val="single" w:themeColor="accent5" w:themeTint="BF" w:sz="8"/>
        <w:insideH w:val="single" w:themeColor="accent5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15_ch">
    <w:name w:val="heading 3"/>
    <w:basedOn w:val="Style_5_ch"/>
    <w:link w:val="Style_15_ch"/>
    <w:rPr>
      <w:rFonts w:asciiTheme="majorAscii" w:hAnsiTheme="majorHAnsi"/>
      <w:color w:val="4F81BD" w:themeColor="accent1"/>
      <w:b w:val="1"/>
    </w:rPr>
  </w:style>
  <w:style w:type="character" w:styleId="Style_16_ch">
    <w:name w:val="Intense Reference"/>
    <w:basedOn w:val="Style_17_ch"/>
    <w:link w:val="Style_16_ch"/>
    <w:rPr>
      <w:color w:val="C0504D" w:themeColor="accent2"/>
      <w:u w:val="single"/>
      <w:b w:val="1"/>
      <w:smallCaps w:val="1"/>
      <w:spacing w:val="5"/>
    </w:rPr>
  </w:style>
  <w:style w:type="character" w:styleId="Style_17_ch">
    <w:name w:val="Default Paragraph Font"/>
    <w:link w:val="Style_17_ch"/>
  </w:style>
  <w:style w:type="character" w:styleId="Style_18_ch">
    <w:name w:val="Body Text 3"/>
    <w:basedOn w:val="Style_5_ch"/>
    <w:link w:val="Style_18_ch"/>
    <w:rPr>
      <w:sz w:val="16"/>
    </w:rPr>
  </w:style>
  <w:style w:type="character" w:styleId="Style_19_ch">
    <w:name w:val="List"/>
    <w:basedOn w:val="Style_5_ch"/>
    <w:link w:val="Style_19_ch"/>
  </w:style>
  <w:style w:type="character" w:styleId="Style_1_ch">
    <w:name w:val="Title"/>
    <w:basedOn w:val="Style_5_ch"/>
    <w:link w:val="Style_1_ch"/>
    <w:rPr>
      <w:rFonts w:asciiTheme="majorAscii" w:hAnsiTheme="majorHAnsi"/>
      <w:sz w:val="40"/>
      <w:color w:val="000000"/>
      <w:b w:val="1"/>
      <w:spacing w:val="5"/>
    </w:rPr>
  </w:style>
  <w:style w:type="character" w:styleId="Style_20_ch">
    <w:name w:val="caption"/>
    <w:basedOn w:val="Style_5_ch"/>
    <w:link w:val="Style_20_ch"/>
    <w:rPr>
      <w:sz w:val="18"/>
      <w:color w:val="4F81BD" w:themeColor="accent1"/>
      <w:b w:val="1"/>
    </w:rPr>
  </w:style>
  <w:style w:type="character" w:styleId="Style_21_ch">
    <w:name w:val="macro"/>
    <w:link w:val="Style_21_ch"/>
    <w:rPr>
      <w:rFonts w:ascii="Courier" w:hAnsi="Courier"/>
      <w:sz w:val="20"/>
    </w:rPr>
  </w:style>
  <w:style w:type="character" w:styleId="Style_22_ch">
    <w:name w:val="heading 9"/>
    <w:basedOn w:val="Style_5_ch"/>
    <w:link w:val="Style_22_ch"/>
    <w:rPr>
      <w:rFonts w:asciiTheme="majorAscii" w:hAnsiTheme="majorHAnsi"/>
      <w:sz w:val="20"/>
      <w:color w:val="404040" w:themeColor="text1" w:themeTint="BF"/>
      <w:i w:val="1"/>
    </w:rPr>
  </w:style>
  <w:style w:type="character" w:styleId="Style_23_ch">
    <w:name w:val="Body Text"/>
    <w:basedOn w:val="Style_5_ch"/>
    <w:link w:val="Style_23_ch"/>
  </w:style>
  <w:style w:type="character" w:styleId="Style_24_ch">
    <w:name w:val="Intense Emphasis"/>
    <w:basedOn w:val="Style_17_ch"/>
    <w:link w:val="Style_24_ch"/>
    <w:rPr>
      <w:color w:val="4F81BD" w:themeColor="accent1"/>
      <w:b w:val="1"/>
      <w:i w:val="1"/>
    </w:rPr>
  </w:style>
  <w:style w:type="character" w:styleId="Style_25_ch">
    <w:name w:val="List Bullet 3"/>
    <w:basedOn w:val="Style_5_ch"/>
    <w:link w:val="Style_25_ch"/>
  </w:style>
  <w:style w:type="character" w:styleId="Style_26_ch">
    <w:name w:val="toc 3"/>
    <w:link w:val="Style_26_ch"/>
    <w:rPr>
      <w:rFonts w:ascii="XO Thames" w:hAnsi="XO Thames"/>
      <w:sz w:val="28"/>
    </w:rPr>
  </w:style>
  <w:style w:type="character" w:styleId="Style_27_ch">
    <w:name w:val="List Number 2"/>
    <w:basedOn w:val="Style_5_ch"/>
    <w:link w:val="Style_27_ch"/>
  </w:style>
  <w:style w:type="character" w:styleId="Style_28_ch">
    <w:name w:val="List Bullet"/>
    <w:basedOn w:val="Style_5_ch"/>
    <w:link w:val="Style_28_ch"/>
  </w:style>
  <w:style w:type="character" w:styleId="Style_29_ch">
    <w:name w:val="Strong"/>
    <w:basedOn w:val="Style_17_ch"/>
    <w:link w:val="Style_29_ch"/>
    <w:rPr>
      <w:b w:val="1"/>
    </w:rPr>
  </w:style>
  <w:style w:type="character" w:styleId="Style_2_ch">
    <w:name w:val="heading 1"/>
    <w:basedOn w:val="Style_5_ch"/>
    <w:link w:val="Style_2_ch"/>
    <w:rPr>
      <w:rFonts w:asciiTheme="majorAscii" w:hAnsiTheme="majorHAnsi"/>
      <w:sz w:val="26"/>
      <w:color w:val="000000"/>
      <w:b w:val="1"/>
    </w:rPr>
  </w:style>
  <w:style w:type="character" w:styleId="Style_30_ch">
    <w:name w:val="TOC Heading"/>
    <w:basedOn w:val="Style_2_ch"/>
    <w:link w:val="Style_30_ch"/>
  </w:style>
  <w:style w:type="character" w:styleId="Style_31_ch">
    <w:name w:val="Subtle Emphasis"/>
    <w:basedOn w:val="Style_17_ch"/>
    <w:link w:val="Style_31_ch"/>
    <w:rPr>
      <w:color w:val="808080" w:themeColor="text1" w:themeTint="7F"/>
      <w:i w:val="1"/>
    </w:rPr>
  </w:style>
  <w:style w:type="character" w:styleId="Style_32_ch">
    <w:name w:val="List Number"/>
    <w:basedOn w:val="Style_5_ch"/>
    <w:link w:val="Style_32_ch"/>
  </w:style>
  <w:style w:type="character" w:styleId="Style_33_ch">
    <w:name w:val="List Continue 3"/>
    <w:basedOn w:val="Style_5_ch"/>
    <w:link w:val="Style_33_ch"/>
  </w:style>
  <w:style w:type="character" w:styleId="Style_34_ch">
    <w:name w:val="heading 5"/>
    <w:basedOn w:val="Style_5_ch"/>
    <w:link w:val="Style_34_ch"/>
    <w:rPr>
      <w:rFonts w:asciiTheme="majorAscii" w:hAnsiTheme="majorHAnsi"/>
      <w:color w:val="244061" w:themeColor="accent1" w:themeShade="7F"/>
    </w:rPr>
  </w:style>
  <w:style w:type="character" w:styleId="Style_35_ch">
    <w:name w:val="List 3"/>
    <w:basedOn w:val="Style_5_ch"/>
    <w:link w:val="Style_35_ch"/>
  </w:style>
  <w:style w:type="character" w:styleId="Style_36_ch">
    <w:name w:val="No Spacing"/>
    <w:link w:val="Style_36_ch"/>
  </w:style>
  <w:style w:type="character" w:styleId="Style_37_ch">
    <w:name w:val="header"/>
    <w:basedOn w:val="Style_5_ch"/>
    <w:link w:val="Style_37_ch"/>
  </w:style>
  <w:style w:type="character" w:styleId="Style_38_ch">
    <w:name w:val="Hyperlink"/>
    <w:link w:val="Style_38_ch"/>
    <w:rPr>
      <w:color w:val="0000FF"/>
      <w:u w:val="single"/>
    </w:rPr>
  </w:style>
  <w:style w:type="character" w:styleId="Style_39_ch">
    <w:name w:val="Footnote"/>
    <w:link w:val="Style_39_ch"/>
    <w:rPr>
      <w:rFonts w:ascii="XO Thames" w:hAnsi="XO Thames"/>
      <w:sz w:val="22"/>
    </w:rPr>
  </w:style>
  <w:style w:type="character" w:styleId="Style_3_ch">
    <w:name w:val="heading 2"/>
    <w:basedOn w:val="Style_5_ch"/>
    <w:link w:val="Style_3_ch"/>
    <w:rPr>
      <w:rFonts w:asciiTheme="majorAscii" w:hAnsiTheme="majorHAnsi"/>
      <w:sz w:val="22"/>
      <w:color w:val="000000"/>
      <w:b w:val="1"/>
    </w:rPr>
  </w:style>
  <w:style w:type="table" w:styleId="Style_4" w:default="1">
    <w:name w:val="Normal Table"/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40_ch">
    <w:name w:val="heading 8"/>
    <w:basedOn w:val="Style_5_ch"/>
    <w:link w:val="Style_40_ch"/>
    <w:rPr>
      <w:rFonts w:asciiTheme="majorAscii" w:hAnsiTheme="majorHAnsi"/>
      <w:sz w:val="20"/>
      <w:color w:val="4F81BD" w:themeColor="accent1"/>
    </w:rPr>
  </w:style>
  <w:style w:type="character" w:styleId="Style_41_ch">
    <w:name w:val="toc 1"/>
    <w:link w:val="Style_41_ch"/>
    <w:rPr>
      <w:rFonts w:ascii="XO Thames" w:hAnsi="XO Thames"/>
      <w:sz w:val="28"/>
      <w:b w:val="1"/>
    </w:rPr>
  </w:style>
  <w:style w:type="character" w:styleId="Style_42_ch">
    <w:name w:val="Book Title"/>
    <w:basedOn w:val="Style_17_ch"/>
    <w:link w:val="Style_42_ch"/>
    <w:rPr>
      <w:b w:val="1"/>
      <w:smallCaps w:val="1"/>
      <w:spacing w:val="5"/>
    </w:rPr>
  </w:style>
  <w:style w:type="character" w:styleId="Style_43_ch">
    <w:name w:val="Header and Footer"/>
    <w:link w:val="Style_43_ch"/>
    <w:rPr>
      <w:rFonts w:ascii="XO Thames" w:hAnsi="XO Thames"/>
      <w:sz w:val="28"/>
    </w:rPr>
  </w:style>
  <w:style w:type="character" w:styleId="Style_44_ch">
    <w:name w:val="toc 9"/>
    <w:link w:val="Style_44_ch"/>
    <w:rPr>
      <w:rFonts w:ascii="XO Thames" w:hAnsi="XO Thames"/>
      <w:sz w:val="28"/>
    </w:rPr>
  </w:style>
  <w:style w:type="character" w:styleId="Style_45_ch">
    <w:name w:val="Subtle Reference"/>
    <w:basedOn w:val="Style_17_ch"/>
    <w:link w:val="Style_45_ch"/>
    <w:rPr>
      <w:color w:val="C0504D" w:themeColor="accent2"/>
      <w:u w:val="single"/>
      <w:smallCaps w:val="1"/>
    </w:rPr>
  </w:style>
  <w:style w:type="character" w:styleId="Style_46_ch">
    <w:name w:val="Emphasis"/>
    <w:basedOn w:val="Style_17_ch"/>
    <w:link w:val="Style_46_ch"/>
    <w:rPr>
      <w:i w:val="1"/>
    </w:rPr>
  </w:style>
  <w:style w:type="character" w:styleId="Style_47_ch">
    <w:name w:val="List Bullet 2"/>
    <w:basedOn w:val="Style_5_ch"/>
    <w:link w:val="Style_47_ch"/>
  </w:style>
  <w:style w:type="character" w:styleId="Style_48_ch">
    <w:name w:val="toc 8"/>
    <w:link w:val="Style_48_ch"/>
    <w:rPr>
      <w:rFonts w:ascii="XO Thames" w:hAnsi="XO Thames"/>
      <w:sz w:val="28"/>
    </w:rPr>
  </w:style>
  <w:style w:type="character" w:styleId="Style_49_ch">
    <w:name w:val="Intense Quote"/>
    <w:basedOn w:val="Style_5_ch"/>
    <w:link w:val="Style_49_ch"/>
    <w:rPr>
      <w:color w:val="4F81BD" w:themeColor="accent1"/>
      <w:b w:val="1"/>
      <w:i w:val="1"/>
    </w:rPr>
  </w:style>
  <w:style w:type="character" w:styleId="Style_50_ch">
    <w:name w:val="toc 5"/>
    <w:link w:val="Style_50_ch"/>
    <w:rPr>
      <w:rFonts w:ascii="XO Thames" w:hAnsi="XO Thames"/>
      <w:sz w:val="28"/>
    </w:rPr>
  </w:style>
  <w:style w:type="character" w:styleId="Style_51_ch">
    <w:name w:val="List Number 3"/>
    <w:basedOn w:val="Style_5_ch"/>
    <w:link w:val="Style_51_ch"/>
  </w:style>
  <w:style w:type="character" w:styleId="Style_52_ch">
    <w:name w:val="List Paragraph"/>
    <w:basedOn w:val="Style_5_ch"/>
    <w:link w:val="Style_52_ch"/>
  </w:style>
  <w:style w:type="character" w:styleId="Style_53_ch">
    <w:name w:val="List 2"/>
    <w:basedOn w:val="Style_5_ch"/>
    <w:link w:val="Style_53_ch"/>
  </w:style>
  <w:style w:type="character" w:styleId="Style_54_ch">
    <w:name w:val="Body Text 2"/>
    <w:basedOn w:val="Style_5_ch"/>
    <w:link w:val="Style_54_ch"/>
  </w:style>
  <w:style w:type="character" w:styleId="Style_55_ch">
    <w:name w:val="Subtitle"/>
    <w:basedOn w:val="Style_5_ch"/>
    <w:link w:val="Style_55_ch"/>
    <w:rPr>
      <w:rFonts w:asciiTheme="majorAscii" w:hAnsiTheme="majorHAnsi"/>
      <w:sz w:val="24"/>
      <w:color w:val="4F81BD" w:themeColor="accent1"/>
      <w:i w:val="1"/>
      <w:spacing w:val="15"/>
    </w:rPr>
  </w:style>
  <w:style w:type="character" w:styleId="Style_56_ch">
    <w:name w:val="heading 4"/>
    <w:basedOn w:val="Style_5_ch"/>
    <w:link w:val="Style_56_ch"/>
    <w:rPr>
      <w:rFonts w:asciiTheme="majorAscii" w:hAnsiTheme="majorHAnsi"/>
      <w:color w:val="4F81BD" w:themeColor="accent1"/>
      <w:b w:val="1"/>
      <w:i w:val="1"/>
    </w:rPr>
  </w:style>
  <w:style w:type="character" w:styleId="Style_57_ch">
    <w:name w:val="heading 6"/>
    <w:basedOn w:val="Style_5_ch"/>
    <w:link w:val="Style_57_ch"/>
    <w:rPr>
      <w:rFonts w:asciiTheme="majorAscii" w:hAnsiTheme="majorHAnsi"/>
      <w:color w:val="244061" w:themeColor="accent1" w:themeShade="7F"/>
      <w:i w:val="1"/>
    </w:rPr>
  </w:style>
  <w:style w:type="character" w:styleId="Style_58_ch">
    <w:name w:val="List Continue 2"/>
    <w:basedOn w:val="Style_5_ch"/>
    <w:link w:val="Style_58_ch"/>
  </w:style>
  <w:style w:type="table" w:styleId="Style_59">
    <w:name w:val="Medium Grid 2 Accent 3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3" w:sz="8"/>
        <w:left w:val="single" w:themeColor="accent3" w:sz="8"/>
        <w:bottom w:val="single" w:themeColor="accent3" w:sz="8"/>
        <w:right w:val="single" w:themeColor="accent3" w:sz="8"/>
        <w:insideH w:val="single" w:themeColor="accent3" w:sz="8"/>
        <w:insideV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5_ch" w:default="1">
    <w:name w:val="Normal"/>
    <w:link w:val="Style_5_ch"/>
    <w:rPr>
      <w:rFonts w:ascii="Arial" w:hAnsi="Arial"/>
      <w:sz w:val="21"/>
      <w:color w:val="000000"/>
    </w:rPr>
  </w:style>
  <w:style w:type="table" w:styleId="Style_60">
    <w:name w:val="Colorful Shading Accent 1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2" w:sz="24"/>
        <w:left w:val="single" w:themeColor="accent1" w:sz="4"/>
        <w:bottom w:val="single" w:themeColor="accent1" w:sz="4"/>
        <w:right w:val="single" w:themeColor="accent1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1">
    <w:name w:val="Medium List 2 Accent 5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5" w:sz="8"/>
        <w:left w:val="single" w:themeColor="accent5" w:sz="8"/>
        <w:bottom w:val="single" w:themeColor="accent5" w:sz="8"/>
        <w:right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2">
    <w:name w:val="Medium List 2 Accent 2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2" w:sz="8"/>
        <w:left w:val="single" w:themeColor="accent2" w:sz="8"/>
        <w:bottom w:val="single" w:themeColor="accent2" w:sz="8"/>
        <w:right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3">
    <w:name w:val="Medium List 2 Accent 4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4" w:sz="8"/>
        <w:left w:val="single" w:themeColor="accent4" w:sz="8"/>
        <w:bottom w:val="single" w:themeColor="accent4" w:sz="8"/>
        <w:right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4">
    <w:name w:val="Medium Grid 2 Accent 5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5" w:sz="8"/>
        <w:left w:val="single" w:themeColor="accent5" w:sz="8"/>
        <w:bottom w:val="single" w:themeColor="accent5" w:sz="8"/>
        <w:right w:val="single" w:themeColor="accent5" w:sz="8"/>
        <w:insideH w:val="single" w:themeColor="accent5" w:sz="8"/>
        <w:insideV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5">
    <w:name w:val="Light Grid Accent 3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3" w:sz="8"/>
        <w:left w:val="single" w:themeColor="accent3" w:sz="8"/>
        <w:bottom w:val="single" w:themeColor="accent3" w:sz="8"/>
        <w:right w:val="single" w:themeColor="accent3" w:sz="8"/>
        <w:insideH w:val="single" w:themeColor="accent3" w:sz="8"/>
        <w:insideV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6">
    <w:name w:val="Colorful Grid Accent 3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insideH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7">
    <w:name w:val="Medium Grid 1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2" w:themeTint="BF" w:sz="8"/>
        <w:left w:val="single" w:themeColor="accent2" w:themeTint="BF" w:sz="8"/>
        <w:bottom w:val="single" w:themeColor="accent2" w:themeTint="BF" w:sz="8"/>
        <w:right w:val="single" w:themeColor="accent2" w:themeTint="BF" w:sz="8"/>
        <w:insideH w:val="single" w:themeColor="accent2" w:themeTint="BF" w:sz="8"/>
        <w:insideV w:val="single" w:themeColor="accent2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8">
    <w:name w:val="Medium List 2 Accent 6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6" w:sz="8"/>
        <w:left w:val="single" w:themeColor="accent6" w:sz="8"/>
        <w:bottom w:val="single" w:themeColor="accent6" w:sz="8"/>
        <w:right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69">
    <w:name w:val="Medium Grid 3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6_ch">
    <w:name w:val="toc 2"/>
    <w:link w:val="Style_6_ch"/>
    <w:rPr>
      <w:rFonts w:ascii="XO Thames" w:hAnsi="XO Thames"/>
      <w:sz w:val="28"/>
    </w:rPr>
  </w:style>
  <w:style w:type="table" w:styleId="Style_70">
    <w:name w:val="Medium Grid 3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1">
    <w:name w:val="Medium Grid 2 Accent 1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1" w:sz="8"/>
        <w:left w:val="single" w:themeColor="accent1" w:sz="8"/>
        <w:bottom w:val="single" w:themeColor="accent1" w:sz="8"/>
        <w:right w:val="single" w:themeColor="accent1" w:sz="8"/>
        <w:insideH w:val="single" w:themeColor="accent1" w:sz="8"/>
        <w:insideV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2">
    <w:name w:val="Dark List Accent 4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73">
    <w:name w:val="Medium List 1 Accent 5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5" w:sz="8"/>
        <w:bottom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4">
    <w:name w:val="Colorful Shading Accent 5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6" w:sz="24"/>
        <w:left w:val="single" w:themeColor="accent5" w:sz="4"/>
        <w:bottom w:val="single" w:themeColor="accent5" w:sz="4"/>
        <w:right w:val="single" w:themeColor="accent5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5">
    <w:name w:val="Medium Grid 1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1" w:themeTint="BF" w:sz="8"/>
        <w:left w:val="single" w:themeColor="accent1" w:themeTint="BF" w:sz="8"/>
        <w:bottom w:val="single" w:themeColor="accent1" w:themeTint="BF" w:sz="8"/>
        <w:right w:val="single" w:themeColor="accent1" w:themeTint="BF" w:sz="8"/>
        <w:insideH w:val="single" w:themeColor="accent1" w:themeTint="BF" w:sz="8"/>
        <w:insideV w:val="single" w:themeColor="accent1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6">
    <w:name w:val="Medium Shading 1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4" w:themeTint="BF" w:sz="8"/>
        <w:left w:val="single" w:themeColor="accent4" w:themeTint="BF" w:sz="8"/>
        <w:bottom w:val="single" w:themeColor="accent4" w:themeTint="BF" w:sz="8"/>
        <w:right w:val="single" w:themeColor="accent4" w:themeTint="BF" w:sz="8"/>
        <w:insideH w:val="single" w:themeColor="accent4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7">
    <w:name w:val="Light Shading Accent 5"/>
    <w:basedOn w:val="Style_4"/>
    <w:pPr>
      <w:widowControl w:val="1"/>
      <w:spacing w:after="0" w:line="240" w:lineRule="auto"/>
      <w:ind/>
    </w:pPr>
    <w:rPr>
      <w:color w:val="31859B" w:themeColor="accent5" w:themeShade="BF"/>
    </w:rPr>
    <w:tblPr>
      <w:tblInd w:w="0" w:type="dxa"/>
      <w:tblBorders>
        <w:top w:val="single" w:themeColor="accent5" w:sz="8"/>
        <w:bottom w:val="single" w:themeColor="accent5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8">
    <w:name w:val="Medium Shading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79">
    <w:name w:val="Light List Accent 1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1" w:sz="8"/>
        <w:left w:val="single" w:themeColor="accent1" w:sz="8"/>
        <w:bottom w:val="single" w:themeColor="accent1" w:sz="8"/>
        <w:right w:val="single" w:themeColor="accen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7_ch">
    <w:name w:val="toc 4"/>
    <w:link w:val="Style_7_ch"/>
    <w:rPr>
      <w:rFonts w:ascii="XO Thames" w:hAnsi="XO Thames"/>
      <w:sz w:val="28"/>
    </w:rPr>
  </w:style>
  <w:style w:type="table" w:styleId="Style_80">
    <w:name w:val="Light Shading Accent 3"/>
    <w:basedOn w:val="Style_4"/>
    <w:pPr>
      <w:widowControl w:val="1"/>
      <w:spacing w:after="0" w:line="240" w:lineRule="auto"/>
      <w:ind/>
    </w:pPr>
    <w:rPr>
      <w:color w:val="76933C" w:themeColor="accent3" w:themeShade="BF"/>
    </w:rPr>
    <w:tblPr>
      <w:tblInd w:w="0" w:type="dxa"/>
      <w:tblBorders>
        <w:top w:val="single" w:themeColor="accent3" w:sz="8"/>
        <w:bottom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1">
    <w:name w:val="Medium Shading 2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2">
    <w:name w:val="Dark List Accent 5"/>
    <w:basedOn w:val="Style_4"/>
    <w:pPr>
      <w:widowControl w:val="1"/>
      <w:spacing w:after="0" w:line="240" w:lineRule="auto"/>
      <w:ind/>
    </w:pPr>
    <w:rPr>
      <w:color w:val="FFFFFF" w:themeColor="background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83">
    <w:name w:val="Light List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text1" w:sz="8"/>
        <w:left w:val="single" w:themeColor="text1" w:sz="8"/>
        <w:bottom w:val="single" w:themeColor="text1" w:sz="8"/>
        <w:right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4">
    <w:name w:val="Medium List 1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text1" w:sz="8"/>
        <w:bottom w:val="single" w:themeColor="text1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5">
    <w:name w:val="Light Grid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6" w:sz="8"/>
        <w:left w:val="single" w:themeColor="accent6" w:sz="8"/>
        <w:bottom w:val="single" w:themeColor="accent6" w:sz="8"/>
        <w:right w:val="single" w:themeColor="accent6" w:sz="8"/>
        <w:insideH w:val="single" w:themeColor="accent6" w:sz="8"/>
        <w:insideV w:val="single" w:themeColor="accent6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6">
    <w:name w:val="Medium Shading 1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2" w:themeTint="BF" w:sz="8"/>
        <w:left w:val="single" w:themeColor="accent2" w:themeTint="BF" w:sz="8"/>
        <w:bottom w:val="single" w:themeColor="accent2" w:themeTint="BF" w:sz="8"/>
        <w:right w:val="single" w:themeColor="accent2" w:themeTint="BF" w:sz="8"/>
        <w:insideH w:val="single" w:themeColor="accent2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87">
    <w:name w:val="Colorful List Accent 2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88">
    <w:name w:val="Colorful List Accent 5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89">
    <w:name w:val="Medium Shading 2 Accent 5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8_ch">
    <w:name w:val="footer"/>
    <w:basedOn w:val="Style_5_ch"/>
    <w:link w:val="Style_8_ch"/>
  </w:style>
  <w:style w:type="table" w:styleId="Style_90">
    <w:name w:val="Light Shading Accent 2"/>
    <w:basedOn w:val="Style_4"/>
    <w:pPr>
      <w:widowControl w:val="1"/>
      <w:spacing w:after="0" w:line="240" w:lineRule="auto"/>
      <w:ind/>
    </w:pPr>
    <w:rPr>
      <w:color w:val="953735" w:themeColor="accent2" w:themeShade="BF"/>
    </w:rPr>
    <w:tblPr>
      <w:tblInd w:w="0" w:type="dxa"/>
      <w:tblBorders>
        <w:top w:val="single" w:themeColor="accent2" w:sz="8"/>
        <w:bottom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1">
    <w:name w:val="Medium Shading 2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18"/>
        <w:bottom w:val="single" w:color="000000" w:sz="1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2">
    <w:name w:val="Light Grid Accent 4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4" w:sz="8"/>
        <w:left w:val="single" w:themeColor="accent4" w:sz="8"/>
        <w:bottom w:val="single" w:themeColor="accent4" w:sz="8"/>
        <w:right w:val="single" w:themeColor="accent4" w:sz="8"/>
        <w:insideH w:val="single" w:themeColor="accent4" w:sz="8"/>
        <w:insideV w:val="single" w:themeColor="accent4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3">
    <w:name w:val="Medium List 1 Accent 2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2" w:sz="8"/>
        <w:bottom w:val="single" w:themeColor="accent2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4">
    <w:name w:val="Colorful List Accent 6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CellMar>
        <w:top w:w="0" w:type="dxa"/>
        <w:start w:w="108" w:type="dxa"/>
        <w:bottom w:w="0" w:type="dxa"/>
        <w:end w:w="108" w:type="dxa"/>
      </w:tblCellMar>
    </w:tblPr>
  </w:style>
  <w:style w:type="table" w:styleId="Style_95">
    <w:name w:val="Colorful Shading Accent 2"/>
    <w:basedOn w:val="Style_4"/>
    <w:pPr>
      <w:widowControl w:val="1"/>
      <w:spacing w:after="0" w:line="240" w:lineRule="auto"/>
      <w:ind/>
    </w:pPr>
    <w:rPr>
      <w:color w:val="000000" w:themeColor="text1"/>
    </w:rPr>
    <w:tblPr>
      <w:tblInd w:w="0" w:type="dxa"/>
      <w:tblBorders>
        <w:top w:val="single" w:themeColor="accent2" w:sz="24"/>
        <w:left w:val="single" w:themeColor="accent2" w:sz="4"/>
        <w:bottom w:val="single" w:themeColor="accent2" w:sz="4"/>
        <w:right w:val="single" w:themeColor="accent2" w:sz="4"/>
        <w:insideH w:val="single" w:themeColor="background1" w:sz="4"/>
        <w:insideV w:val="single" w:themeColor="background1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6">
    <w:name w:val="Medium Shading 1 Accent 6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accent6" w:themeTint="BF" w:sz="8"/>
        <w:left w:val="single" w:themeColor="accent6" w:themeTint="BF" w:sz="8"/>
        <w:bottom w:val="single" w:themeColor="accent6" w:themeTint="BF" w:sz="8"/>
        <w:right w:val="single" w:themeColor="accent6" w:themeTint="BF" w:sz="8"/>
        <w:insideH w:val="single" w:themeColor="accent6" w:themeTint="BF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7">
    <w:name w:val="Medium List 2 Accent 3"/>
    <w:basedOn w:val="Style_4"/>
    <w:pPr>
      <w:widowControl w:val="1"/>
      <w:spacing w:after="0" w:line="240" w:lineRule="auto"/>
      <w:ind/>
    </w:pPr>
    <w:rPr>
      <w:rFonts w:asciiTheme="majorAscii" w:hAnsiTheme="majorHAnsi"/>
      <w:color w:val="000000" w:themeColor="text1"/>
    </w:rPr>
    <w:tblPr>
      <w:tblInd w:w="0" w:type="dxa"/>
      <w:tblBorders>
        <w:top w:val="single" w:themeColor="accent3" w:sz="8"/>
        <w:left w:val="single" w:themeColor="accent3" w:sz="8"/>
        <w:bottom w:val="single" w:themeColor="accent3" w:sz="8"/>
        <w:right w:val="single" w:themeColor="accent3" w:sz="8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8">
    <w:name w:val="Table Grid"/>
    <w:basedOn w:val="Style_4"/>
    <w:pPr>
      <w:widowControl w:val="1"/>
      <w:spacing w:after="0" w:line="240" w:lineRule="auto"/>
      <w:ind/>
    </w:pPr>
    <w:tblPr>
      <w:tblInd w:w="0" w:type="dxa"/>
      <w:tblBorders>
        <w:top w:val="single" w:color="000000" w:sz="4"/>
        <w:left w:val="single" w:color="000000" w:sz="4"/>
        <w:bottom w:val="single" w:color="000000" w:sz="4"/>
        <w:right w:val="single" w:color="000000" w:sz="4"/>
        <w:insideH w:val="single" w:color="000000" w:sz="4"/>
        <w:insideV w:val="single" w:color="000000" w:sz="4"/>
      </w:tblBorders>
      <w:tblCellMar>
        <w:top w:w="0" w:type="dxa"/>
        <w:start w:w="108" w:type="dxa"/>
        <w:bottom w:w="0" w:type="dxa"/>
        <w:end w:w="108" w:type="dxa"/>
      </w:tblCellMar>
    </w:tblPr>
  </w:style>
  <w:style w:type="table" w:styleId="Style_99">
    <w:name w:val="Medium Grid 3 Accent 2"/>
    <w:basedOn w:val="Style_4"/>
    <w:pPr>
      <w:widowControl w:val="1"/>
      <w:spacing w:after="0" w:line="240" w:lineRule="auto"/>
      <w:ind/>
    </w:pPr>
    <w:tblPr>
      <w:tblInd w:w="0" w:type="dxa"/>
      <w:tblBorders>
        <w:top w:val="single" w:themeColor="background1" w:sz="8"/>
        <w:left w:val="single" w:themeColor="background1" w:sz="8"/>
        <w:bottom w:val="single" w:themeColor="background1" w:sz="8"/>
        <w:right w:val="single" w:themeColor="background1" w:sz="8"/>
        <w:insideH w:val="single" w:themeColor="background1" w:sz="6"/>
        <w:insideV w:val="single" w:themeColor="background1" w:sz="6"/>
      </w:tblBorders>
      <w:tblCellMar>
        <w:top w:w="0" w:type="dxa"/>
        <w:start w:w="108" w:type="dxa"/>
        <w:bottom w:w="0" w:type="dxa"/>
        <w:end w:w="108" w:type="dxa"/>
      </w:tblCellMar>
    </w:tblPr>
  </w:style>
  <w:style w:type="character" w:styleId="Style_9_ch">
    <w:name w:val="heading 7"/>
    <w:basedOn w:val="Style_5_ch"/>
    <w:link w:val="Style_9_ch"/>
    <w:rPr>
      <w:rFonts w:asciiTheme="majorAscii" w:hAnsiTheme="majorHAnsi"/>
      <w:color w:val="404040" w:themeColor="text1" w:themeTint="BF"/>
      <w:i w:val="1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w="http://schemas.openxmlformats.org/wordprocessingml/2006/main">
  <w:allowPNG/>
  <w:doNotSaveAsSingleFile/>
</w:webSettings>
</file>

<file path=word/_rels/document.xml.rels><?xml version="1.0" ?><Relationships xmlns="http://schemas.openxmlformats.org/package/2006/relationships"><Relationship Id="rId4" Target="stylesWithEffects.xml" Type="http://schemas.microsoft.com/office/2007/relationships/stylesWithEffects"/><Relationship Id="rId1" Target="fontTable.xml" Type="http://schemas.openxmlformats.org/officeDocument/2006/relationships/fontTable"/><Relationship Id="rId7" Target="numbering.xml" Type="http://schemas.openxmlformats.org/officeDocument/2006/relationships/numbering"/><Relationship Id="rId5" Target="webSettings.xml" Type="http://schemas.openxmlformats.org/officeDocument/2006/relationships/webSettings"/><Relationship Id="rId3" Target="styles.xml" Type="http://schemas.openxmlformats.org/officeDocument/2006/relationships/styles"/><Relationship Id="rId2" Target="settings.xml" Type="http://schemas.openxmlformats.org/officeDocument/2006/relationships/settings"/><Relationship Id="rId6" Target="theme/theme1.xml" Type="http://schemas.openxmlformats.org/officeDocument/2006/relationships/theme"/><Relationship Id="rId-2cecef54-e25a-474e-a34f-ae674c918ab4" Type="http://schemas.openxmlformats.org/officeDocument/2006/relationships/image" Target="media/image-eb45ae86-1ffb-400b-ba4b-661ab66d4fe1.jpeg"/></Relationships>
</file>

<file path=word/theme/theme1.xml><?xml version="1.0" encoding="utf-8"?>
<a:theme xmlns:a="http://schemas.openxmlformats.org/drawingml/2006/main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</a:majorFont>
      <a:minorFont>
        <a:latin typeface="Cambria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4999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ep:Properties xmlns:ep="http://schemas.openxmlformats.org/officeDocument/2006/extended-properties">
  <ep:Template>Normal.dotm</ep:Template>
  <ep:TotalTime>0</ep:TotalTime>
  <ep:DocSecurity>0</ep:DocSecurity>
  <ep:ScaleCrop>false</ep:ScaleCrop>
  <ep:Application>MyOffice-CoreFramework-Android/42-1452.1159.10689.1080.1@81e7b381fe3e759ea024068d935a93a33705f065</ep:Application>
</ep:Properties>
</file>

<file path=docProps/core.xml><?xml version="1.0" encoding="utf-8"?>
<cp:coreProperties xmlns:cp="http://schemas.openxmlformats.org/package/2006/metadata/core-properties" xmlns:xsi="http://www.w3.org/2001/XMLSchema-instance" xmlns:dcterms="http://purl.org/dc/terms/">
  <dcterms:created xsi:type="dcterms:W3CDTF">2013-12-23T23:15:00Z</dcterms:created>
  <dcterms:modified xsi:type="dcterms:W3CDTF">2013-12-23T23:15:00Z</dcterms:modified>
</cp:coreProperties>
</file>