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firstLine="709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Дополнительное соглашение № б/н</w:t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firstLine="709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к договору транспортной экспедиции 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firstLine="709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от _____ № ТЭО-25/56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firstLine="709"/>
        <w:jc w:val="center"/>
        <w:rPr>
          <w:i w:val="1"/>
          <w:iCs w:val="1"/>
          <w:sz w:val="28"/>
          <w:szCs w:val="28"/>
        </w:rPr>
      </w:pPr>
      <w:bookmarkStart w:colFirst="0" w:colLast="0" w:name="_jz2hqcw7f1ja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9496.0" w:type="dxa"/>
        <w:jc w:val="center"/>
        <w:tblLayout w:type="fixed"/>
        <w:tblLook w:val="0600"/>
      </w:tblPr>
      <w:tblGrid>
        <w:gridCol w:w="4748"/>
        <w:gridCol w:w="4748"/>
        <w:tblGridChange w:id="0">
          <w:tblGrid>
            <w:gridCol w:w="4748"/>
            <w:gridCol w:w="474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г. Домодедово, Московская область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283.4645669291342" w:firstLine="0"/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«____» ___________ 2025 г.</w:t>
            </w:r>
          </w:p>
        </w:tc>
      </w:tr>
    </w:tbl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firstLine="709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colFirst="0" w:colLast="0" w:name="_9cbtmb95c865" w:id="1"/>
      <w:bookmarkEnd w:id="1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Общество с ограниченной ответственностью «Контейнерный терминал Усады» (ООО «КТ Усады»)</w:t>
      </w:r>
      <w:r w:rsidDel="00000000" w:rsidR="00000000" w:rsidRPr="00000000">
        <w:rPr>
          <w:sz w:val="28"/>
          <w:szCs w:val="28"/>
          <w:rtl w:val="0"/>
        </w:rPr>
        <w:t xml:space="preserve">, именуемое в дальнейшем «Экспедитор», в лице Первого заместителя генерального директора Веселова Романа Юрьевича, действующего на основании доверенности № 49 от 09.10.2025 г.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, и</w:t>
      </w:r>
    </w:p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Общество с ограниченной ответственностью «__________»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, именуемое в дальнейшем «</w:t>
      </w:r>
      <w:r w:rsidDel="00000000" w:rsidR="00000000" w:rsidRPr="00000000">
        <w:rPr>
          <w:sz w:val="28"/>
          <w:szCs w:val="28"/>
          <w:rtl w:val="0"/>
        </w:rPr>
        <w:t xml:space="preserve">Клиент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», в лице должность ФИО, действующего на основании Устава, с другой стороны, именуемые в дальнейшем «Стороны», </w:t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заключили настоящее дополнительное соглашение (далее - </w:t>
      </w:r>
      <w:r w:rsidDel="00000000" w:rsidR="00000000" w:rsidRPr="00000000">
        <w:rPr>
          <w:sz w:val="28"/>
          <w:szCs w:val="28"/>
          <w:rtl w:val="0"/>
        </w:rPr>
        <w:t xml:space="preserve">С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оглашение) к договору </w:t>
      </w:r>
      <w:r w:rsidDel="00000000" w:rsidR="00000000" w:rsidRPr="00000000">
        <w:rPr>
          <w:sz w:val="28"/>
          <w:szCs w:val="28"/>
          <w:rtl w:val="0"/>
        </w:rPr>
        <w:t xml:space="preserve">транспортной экспедиции от _____ № ТЭО-25/56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(далее – Договор) о нижеследующем:</w:t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left="0" w:firstLine="709"/>
        <w:jc w:val="both"/>
        <w:rPr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Соглашение устанавливает процедуру электронного документооборота (далее – ЭДО) по телекоммуникационным каналам связи с применением усиленной квалифицированной электронной подписи (далее - УКЭП) в процессе исполнения Сторонами обязательств по Договору.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left="0" w:firstLine="709"/>
        <w:jc w:val="both"/>
        <w:rPr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Электронный обмен (передача) документов между Сторонами производится с помощью одной из организаций – Операторов ЭДО, согласно актуальному на день подписания Соглашения списку операторов на сайте Федеральной налоговой службы (</w:t>
      </w:r>
      <w:hyperlink r:id="rId6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https://www.nalog.ru/rn77/taxation/submission_statements/operations/</w:t>
        </w:r>
      </w:hyperlink>
      <w:r w:rsidDel="00000000" w:rsidR="00000000" w:rsidRPr="00000000">
        <w:rPr>
          <w:color w:val="000000"/>
          <w:sz w:val="28"/>
          <w:szCs w:val="28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left="0" w:firstLine="709"/>
        <w:jc w:val="both"/>
        <w:rPr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Стороны договорились о применении электронной формы универсального передаточного документа (далее – УПД), в формате предоставления, утвержденном Приказом ФНС России от </w:t>
        <w:br w:type="textWrapping"/>
        <w:t xml:space="preserve">19.12.2023 № ЕД-7-26/970@, и универсального корректировочного документа (далее - УКД) в формате предоставления, утвержденном Приказом ФНС России от 12.10.2020 № ЕД-7-26/736@, (далее совместно - Отчетные документы).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left="0" w:firstLine="709"/>
        <w:jc w:val="both"/>
        <w:rPr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Стороны договорились, что: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left="0" w:firstLine="709"/>
        <w:jc w:val="both"/>
        <w:rPr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положения Договора о сроках, порядке формирования, направления и подписания счетов-фактур и актов об оказанных услугах применяются к УПД;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left="0" w:firstLine="709"/>
        <w:jc w:val="both"/>
        <w:rPr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положения Договора о порядке формирования, направления и подписания корректировочных счетов-фактур и справки о корректировке актов об оказанных услугах применяются к УКД.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left="0" w:firstLine="709"/>
        <w:jc w:val="both"/>
        <w:rPr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Стороны пришли к соглашению, что направление, получение, подписание и обмен УПД и УКД происходит в электронном виде с использованием УКЭП посредством ЭДО. Стороны признают, что Отчетные документы, подписанные УКЭП, являются надлежаще оформленными электронными первичными документами и приравниваются к первичным документам бухгалтерского учета, подписанными уполномоченными лицами Сторон на бумажном носителе.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left="0" w:firstLine="709"/>
        <w:jc w:val="both"/>
        <w:rPr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Стороны признают, что УКЭП документа признается равнозначной собственноручной подписи уполномоченных лиц – владельцев сертификата УКЭП и порождает для подписанта юридические последствия, предусмотренные законодательством Российской Федерации (далее - законодательство). Стороны обязуются применять при осуществлении юридически значимого ЭДО формы, форматы и порядок, установленные законодательством, применимыми нормативными актами, а также совместимые технические средства ЭДО.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left="0" w:firstLine="709"/>
        <w:jc w:val="both"/>
        <w:rPr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При соблюдении условий, приведенных в Соглашении, Отчетные документы, содержание и порядок обмена которых соответствует требованиям нормативных актов, принимаются Сторонами к учету в качестве первичных учетных документов, используются в качестве доказательства в судебных разбирательствах и предоставляются при необходимости в государственные органы. В случае возникновения спора между Сторонами подтверждением совершения действий по направлению, получению, подписанию и обмену Отчетными документами являются документы, которые формируются и заверяются оператором ЭДО по запросу одной из Сторон.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left="0" w:firstLine="709"/>
        <w:jc w:val="both"/>
        <w:rPr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В случае отсутствия УКЭП у</w:t>
      </w:r>
      <w:r w:rsidDel="00000000" w:rsidR="00000000" w:rsidRPr="00000000">
        <w:rPr>
          <w:sz w:val="28"/>
          <w:szCs w:val="28"/>
          <w:rtl w:val="0"/>
        </w:rPr>
        <w:t xml:space="preserve"> клиента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на момент подписания Соглашения он обязуется не позднее 10 (десяти) рабочих дней после подписания Соглашения за свой счет получить сертификаты электронных подписей.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left="0" w:firstLine="709"/>
        <w:jc w:val="both"/>
        <w:rPr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Каждая из Сторон несет ответственность за обеспечение конфиденциальности ключей УКЭП, недопущения использования принадлежащих ей ключей без ее согласия. Если в сертификате УКЭП не указан орган или физическое лицо, действующее от имени Стороны при подписании Отчетных документов, то в каждом случае получения подписанных УКЭП Отчетных документов Стороны добросовестно исходят из того, что Отчетные документы подписаны УКЭП от имени надлежащего лица, действующего в пределах имеющихся у него полномочий.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left="0" w:firstLine="709"/>
        <w:jc w:val="both"/>
        <w:rPr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Стороны осуществляют ЭДО в соответствии с законодательством с учетом положений, устанавливаемых нормативными актами исполнительных органов государственной власти Российской Федерации.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left="0" w:firstLine="709"/>
        <w:jc w:val="both"/>
        <w:rPr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Стороны обязаны в течение 3 (трех) рабочих дней информировать друг друга о невозможности обмена Отчетными документами в электронном виде, подписанными УКЭП, в случае технического сбоя внутренних систем Стороны или оператора ЭДО. В этом случае в период действия такого сбоя Стороны производят обмен Отчетными документами на бумажном носителе с подписанием собственноручной подписью.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left="0" w:firstLine="709"/>
        <w:jc w:val="both"/>
        <w:rPr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Иные условия Договора, не затронутые Соглашением, остаются неизменными и Стороны подтверждают по ним свои обязательства.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left="0" w:firstLine="709"/>
        <w:jc w:val="both"/>
        <w:rPr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Соглашение составлено в двух экземплярах, имеющих одинаковую силу, по одному для каждой из Сторон.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left="0" w:firstLine="709"/>
        <w:jc w:val="both"/>
        <w:rPr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Соглашение вступает в силу с даты его подписания. Соглашение является неотъемлемой частью Договора.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left="709" w:firstLine="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Подписи Сторон:</w:t>
      </w:r>
    </w:p>
    <w:p w:rsidR="00000000" w:rsidDel="00000000" w:rsidP="00000000" w:rsidRDefault="00000000" w:rsidRPr="00000000" w14:paraId="0000001E">
      <w:pPr>
        <w:spacing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81.0" w:type="dxa"/>
        <w:jc w:val="left"/>
        <w:tblInd w:w="-6.999999999999993" w:type="dxa"/>
        <w:tblLayout w:type="fixed"/>
        <w:tblLook w:val="0000"/>
      </w:tblPr>
      <w:tblGrid>
        <w:gridCol w:w="4928"/>
        <w:gridCol w:w="4853"/>
        <w:tblGridChange w:id="0">
          <w:tblGrid>
            <w:gridCol w:w="4928"/>
            <w:gridCol w:w="4853"/>
          </w:tblGrid>
        </w:tblGridChange>
      </w:tblGrid>
      <w:tr>
        <w:trPr>
          <w:cantSplit w:val="0"/>
          <w:trHeight w:val="215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line="276" w:lineRule="auto"/>
              <w:jc w:val="both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276" w:lineRule="auto"/>
              <w:jc w:val="both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spacing w:line="276" w:lineRule="auto"/>
              <w:jc w:val="both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8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276" w:lineRule="auto"/>
              <w:jc w:val="both"/>
              <w:rPr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pgSz w:h="16838" w:w="11906" w:orient="portrait"/>
      <w:pgMar w:bottom="1134" w:top="1134" w:left="1701" w:right="851" w:header="567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677"/>
        <w:tab w:val="right" w:leader="none" w:pos="9355"/>
      </w:tabs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 </w:t>
    </w: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677"/>
        <w:tab w:val="right" w:leader="none" w:pos="9355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677"/>
        <w:tab w:val="right" w:leader="none" w:pos="9355"/>
      </w:tabs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1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677"/>
        <w:tab w:val="right" w:leader="none" w:pos="9355"/>
      </w:tabs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677"/>
        <w:tab w:val="right" w:leader="none" w:pos="9355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677"/>
        <w:tab w:val="right" w:leader="none" w:pos="9355"/>
      </w:tabs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-295274</wp:posOffset>
          </wp:positionH>
          <wp:positionV relativeFrom="paragraph">
            <wp:posOffset>-266699</wp:posOffset>
          </wp:positionV>
          <wp:extent cx="2353628" cy="581025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53628" cy="5810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2345" w:hanging="360"/>
      </w:pPr>
      <w:rPr/>
    </w:lvl>
    <w:lvl w:ilvl="1">
      <w:start w:val="1"/>
      <w:numFmt w:val="decimal"/>
      <w:lvlText w:val="%1.%2."/>
      <w:lvlJc w:val="left"/>
      <w:pPr>
        <w:ind w:left="2705" w:hanging="720"/>
      </w:pPr>
      <w:rPr/>
    </w:lvl>
    <w:lvl w:ilvl="2">
      <w:start w:val="1"/>
      <w:numFmt w:val="decimal"/>
      <w:lvlText w:val="%1.%2.%3."/>
      <w:lvlJc w:val="left"/>
      <w:pPr>
        <w:ind w:left="2705" w:hanging="720"/>
      </w:pPr>
      <w:rPr/>
    </w:lvl>
    <w:lvl w:ilvl="3">
      <w:start w:val="1"/>
      <w:numFmt w:val="decimal"/>
      <w:lvlText w:val="%1.%2.%3.%4."/>
      <w:lvlJc w:val="left"/>
      <w:pPr>
        <w:ind w:left="3065" w:hanging="1080"/>
      </w:pPr>
      <w:rPr/>
    </w:lvl>
    <w:lvl w:ilvl="4">
      <w:start w:val="1"/>
      <w:numFmt w:val="decimal"/>
      <w:lvlText w:val="%1.%2.%3.%4.%5."/>
      <w:lvlJc w:val="left"/>
      <w:pPr>
        <w:ind w:left="3065" w:hanging="1080"/>
      </w:pPr>
      <w:rPr/>
    </w:lvl>
    <w:lvl w:ilvl="5">
      <w:start w:val="1"/>
      <w:numFmt w:val="decimal"/>
      <w:lvlText w:val="%1.%2.%3.%4.%5.%6."/>
      <w:lvlJc w:val="left"/>
      <w:pPr>
        <w:ind w:left="3425" w:hanging="1440"/>
      </w:pPr>
      <w:rPr/>
    </w:lvl>
    <w:lvl w:ilvl="6">
      <w:start w:val="1"/>
      <w:numFmt w:val="decimal"/>
      <w:lvlText w:val="%1.%2.%3.%4.%5.%6.%7."/>
      <w:lvlJc w:val="left"/>
      <w:pPr>
        <w:ind w:left="3785" w:hanging="1800"/>
      </w:pPr>
      <w:rPr/>
    </w:lvl>
    <w:lvl w:ilvl="7">
      <w:start w:val="1"/>
      <w:numFmt w:val="decimal"/>
      <w:lvlText w:val="%1.%2.%3.%4.%5.%6.%7.%8."/>
      <w:lvlJc w:val="left"/>
      <w:pPr>
        <w:ind w:left="3785" w:hanging="1800"/>
      </w:pPr>
      <w:rPr/>
    </w:lvl>
    <w:lvl w:ilvl="8">
      <w:start w:val="1"/>
      <w:numFmt w:val="decimal"/>
      <w:lvlText w:val="%1.%2.%3.%4.%5.%6.%7.%8.%9."/>
      <w:lvlJc w:val="left"/>
      <w:pPr>
        <w:ind w:left="4145" w:hanging="2160"/>
      </w:pPr>
      <w:rPr/>
    </w:lvl>
  </w:abstractNum>
  <w:abstractNum w:abstractNumId="2"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www.nalog.ru/rn77/taxation/submission_statements/operations/" TargetMode="Externa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