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CD" w:rsidRPr="007C7CCD" w:rsidRDefault="007C7CCD" w:rsidP="007C7CC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0" w:name="6"/>
      <w:r w:rsidRPr="007C7CCD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Новые правила аттестации учителей с 1 сентября 2023 года</w:t>
      </w:r>
      <w:bookmarkEnd w:id="0"/>
    </w:p>
    <w:p w:rsidR="007C7CCD" w:rsidRPr="007C7CCD" w:rsidRDefault="007C7CCD" w:rsidP="007C7CCD">
      <w:pPr>
        <w:shd w:val="clear" w:color="auto" w:fill="F7F7F7"/>
        <w:spacing w:after="75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C7CC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Менеджмент в образовании</w:t>
      </w:r>
    </w:p>
    <w:p w:rsidR="007C7CCD" w:rsidRPr="007C7CCD" w:rsidRDefault="007C7CCD" w:rsidP="007C7CCD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управлять общеобразовательной организацией</w:t>
      </w:r>
    </w:p>
    <w:p w:rsidR="007C7CCD" w:rsidRPr="007C7CCD" w:rsidRDefault="007C7CCD" w:rsidP="007C7CCD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7C7CCD">
          <w:rPr>
            <w:rFonts w:ascii="Arial" w:eastAsia="Times New Roman" w:hAnsi="Arial" w:cs="Arial"/>
            <w:b/>
            <w:bCs/>
            <w:color w:val="2270B8"/>
            <w:sz w:val="23"/>
            <w:szCs w:val="23"/>
            <w:u w:val="single"/>
            <w:bdr w:val="none" w:sz="0" w:space="0" w:color="auto" w:frame="1"/>
            <w:lang w:eastAsia="ru-RU"/>
          </w:rPr>
          <w:t>Смотреть программу</w:t>
        </w:r>
      </w:hyperlink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 Порядок аттестации регламентируется приказом Министерства просвещения России </w:t>
      </w:r>
      <w:hyperlink r:id="rId6" w:tgtFrame="_blank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№196</w:t>
        </w:r>
      </w:hyperlink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 24.03.2023 «Об утверждении Порядка проведения аттестации педагогических работников». Он вступает в силу с 1 сентября 2023 года.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регулирует проведение аттестации в случаях, когда необходимо:</w:t>
      </w:r>
    </w:p>
    <w:p w:rsidR="007C7CCD" w:rsidRPr="007C7CCD" w:rsidRDefault="007C7CCD" w:rsidP="007C7CCD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подтвердить соответствие работника должности,</w:t>
      </w:r>
    </w:p>
    <w:p w:rsidR="007C7CCD" w:rsidRPr="007C7CCD" w:rsidRDefault="007C7CCD" w:rsidP="007C7CCD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присвоить первую и высшую категорию,</w:t>
      </w:r>
    </w:p>
    <w:p w:rsidR="007C7CCD" w:rsidRPr="007C7CCD" w:rsidRDefault="007C7CCD" w:rsidP="007C7CCD">
      <w:pPr>
        <w:numPr>
          <w:ilvl w:val="0"/>
          <w:numId w:val="1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установить категорию «педагог-методист» и «педагог-наставник».</w:t>
      </w:r>
    </w:p>
    <w:p w:rsidR="007C7CCD" w:rsidRPr="007C7CCD" w:rsidRDefault="007C7CCD" w:rsidP="007C7CC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 xml:space="preserve">Новые категории, по задумке </w:t>
      </w:r>
      <w:proofErr w:type="spellStart"/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Минпросвещения</w:t>
      </w:r>
      <w:proofErr w:type="spellEnd"/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, должны решить проблему методической и наставнической работы в школе. Дело в том, что учителя и до 2023 года зачастую выполняли эти важные функции, но не имели при этом никакого официального статуса. Введение новых категорий должно регламентировать оплату труда и повысить мотивацию педагогов к горизонтальному карьерному росту.  </w:t>
      </w:r>
    </w:p>
    <w:p w:rsidR="007C7CCD" w:rsidRPr="007C7CCD" w:rsidRDefault="007C7CCD" w:rsidP="007C7CC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1" w:name="7"/>
      <w:r w:rsidRPr="007C7CCD">
        <w:rPr>
          <w:rFonts w:ascii="Arial" w:eastAsia="Times New Roman" w:hAnsi="Arial" w:cs="Arial"/>
          <w:color w:val="2270B8"/>
          <w:sz w:val="33"/>
          <w:szCs w:val="33"/>
          <w:lang w:eastAsia="ru-RU"/>
        </w:rPr>
        <w:t>Аттестация на соответствие занимаемой должности</w:t>
      </w:r>
      <w:bookmarkEnd w:id="1"/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 Порядок уточняет состав аттестационной комиссии. Теперь в нее должны входить 5 человек. И если раньше отсутствие в комиссии руководителя организации было рекомендацией, то теперь это обязательное правило. Еще одно требование: в комиссию должны входить представитель профсоюза и специалисты. Это обеспечит всесторонний анализ деятельности учителя и ее объективную оценку.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лиц, которые не проходят аттестацию на соответствие:</w:t>
      </w:r>
    </w:p>
    <w:p w:rsidR="007C7CCD" w:rsidRPr="007C7CCD" w:rsidRDefault="007C7CCD" w:rsidP="007C7CC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учителя, которые имеют первую или высшую категории;</w:t>
      </w:r>
    </w:p>
    <w:p w:rsidR="007C7CCD" w:rsidRPr="007C7CCD" w:rsidRDefault="007C7CCD" w:rsidP="007C7CC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молодые специалисты, которые работают в ОО менее 2 лет;</w:t>
      </w:r>
    </w:p>
    <w:p w:rsidR="007C7CCD" w:rsidRPr="007C7CCD" w:rsidRDefault="007C7CCD" w:rsidP="007C7CC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беременные и находящиеся в отпуске по беременности и родам, в декрете;</w:t>
      </w:r>
    </w:p>
    <w:p w:rsidR="007C7CCD" w:rsidRPr="007C7CCD" w:rsidRDefault="007C7CCD" w:rsidP="007C7CCD">
      <w:pPr>
        <w:numPr>
          <w:ilvl w:val="0"/>
          <w:numId w:val="2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преподаватели, которые из-за болезни отсутствовали на рабочем месте дольше 4 месяцев.</w:t>
      </w:r>
    </w:p>
    <w:p w:rsidR="007C7CCD" w:rsidRPr="007C7CCD" w:rsidRDefault="007C7CCD" w:rsidP="007C7CCD">
      <w:pPr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Аттестация на соответствие по-прежнему проводится 1 раз в 5 лет.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Всю информацию о том, как проходит процедура аттестации на соответствие, собрали в шпаргалке. </w:t>
      </w:r>
    </w:p>
    <w:p w:rsidR="007C7CCD" w:rsidRPr="007C7CCD" w:rsidRDefault="007C7CCD" w:rsidP="007C7CCD">
      <w:pPr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статьи есть </w:t>
      </w:r>
      <w:hyperlink r:id="rId7" w:anchor="articleMaterials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шпаргалка</w:t>
        </w:r>
      </w:hyperlink>
    </w:p>
    <w:p w:rsidR="007C7CCD" w:rsidRPr="007C7CCD" w:rsidRDefault="007C7CCD" w:rsidP="007C7CC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2" w:name="8"/>
      <w:r w:rsidRPr="007C7CCD">
        <w:rPr>
          <w:rFonts w:ascii="Arial" w:eastAsia="Times New Roman" w:hAnsi="Arial" w:cs="Arial"/>
          <w:color w:val="2270B8"/>
          <w:sz w:val="33"/>
          <w:szCs w:val="33"/>
          <w:lang w:eastAsia="ru-RU"/>
        </w:rPr>
        <w:t>Аттестация на первую и высшую категории</w:t>
      </w:r>
      <w:bookmarkEnd w:id="2"/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Первое изменение также касается состава аттестационной комиссии. Теперь в нее входит 7 человек, в том числе представитель профсоюза и специалисты. 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Второе изменение заключается в новых способах подачи заявления. Теперь это можно сделать по электронной почте либо отправить почтой РФ «аналоговое» письмо с уведомлением. Кроме того, подать заявление можно через портал «</w:t>
      </w:r>
      <w:proofErr w:type="spellStart"/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Госуслуги</w:t>
      </w:r>
      <w:proofErr w:type="spellEnd"/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7C7CCD" w:rsidRPr="007C7CCD" w:rsidRDefault="007C7CCD" w:rsidP="007C7CC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Если сотруднику уже присвоена первая категория, срок подачи заявления на высшую категорию не ограничен. В случае, если комиссия откажет ему в присвоении высшей категории, работник сохраняет первую категорию. Подать новое заявление на повышение можно будет через </w:t>
      </w:r>
      <w:proofErr w:type="spellStart"/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год.</w:t>
      </w: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Обновлен</w:t>
      </w:r>
      <w:proofErr w:type="spellEnd"/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перечень сведений, которые преподаватель должен заполнить в заявлении:</w:t>
      </w:r>
    </w:p>
    <w:p w:rsidR="007C7CCD" w:rsidRPr="007C7CCD" w:rsidRDefault="007C7CCD" w:rsidP="007C7CCD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уровень образования (квалификации),</w:t>
      </w:r>
    </w:p>
    <w:p w:rsidR="007C7CCD" w:rsidRPr="007C7CCD" w:rsidRDefault="007C7CCD" w:rsidP="007C7CCD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профессиональной деятельности,</w:t>
      </w:r>
    </w:p>
    <w:p w:rsidR="007C7CCD" w:rsidRPr="007C7CCD" w:rsidRDefault="007C7CCD" w:rsidP="007C7CCD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имеющиеся квалификационные категории,</w:t>
      </w:r>
    </w:p>
    <w:p w:rsidR="007C7CCD" w:rsidRPr="007C7CCD" w:rsidRDefault="007C7CCD" w:rsidP="007C7CCD">
      <w:pPr>
        <w:numPr>
          <w:ilvl w:val="0"/>
          <w:numId w:val="3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должность, по которой будет проходить аттестация.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Главное изменение — из Порядка исключен срок действия категории 5 лет. Это значит, что первая и высшая категории, присвоенные с 1 сентября 2023 года, будут бессрочными.</w:t>
      </w:r>
    </w:p>
    <w:p w:rsidR="007C7CCD" w:rsidRPr="007C7CCD" w:rsidRDefault="007C7CCD" w:rsidP="007C7CCD">
      <w:pPr>
        <w:numPr>
          <w:ilvl w:val="0"/>
          <w:numId w:val="4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Основания для присвоения первой и высшей категорий остались прежними. Собрали их в шпаргалку.</w:t>
      </w:r>
    </w:p>
    <w:p w:rsidR="007C7CCD" w:rsidRPr="007C7CCD" w:rsidRDefault="007C7CCD" w:rsidP="007C7CCD">
      <w:pPr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статьи есть </w:t>
      </w:r>
      <w:hyperlink r:id="rId8" w:anchor="articleMaterials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шпаргалка</w:t>
        </w:r>
      </w:hyperlink>
    </w:p>
    <w:p w:rsidR="007C7CCD" w:rsidRPr="007C7CCD" w:rsidRDefault="007C7CCD" w:rsidP="007C7CCD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3" w:name="9"/>
      <w:r w:rsidRPr="007C7CCD">
        <w:rPr>
          <w:rFonts w:ascii="Arial" w:eastAsia="Times New Roman" w:hAnsi="Arial" w:cs="Arial"/>
          <w:color w:val="2270B8"/>
          <w:sz w:val="33"/>
          <w:szCs w:val="33"/>
          <w:lang w:eastAsia="ru-RU"/>
        </w:rPr>
        <w:lastRenderedPageBreak/>
        <w:t>Аттестация на квалификационные категории «педагог-методист» и «педагог-наставник»</w:t>
      </w:r>
      <w:bookmarkEnd w:id="3"/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 аттестации на эти категории — выявить и использовать потенциальные возможности учителей в методической помощи и наставнической деятельности.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 процедуры есть ряд особенностей:</w:t>
      </w:r>
    </w:p>
    <w:p w:rsidR="007C7CCD" w:rsidRPr="007C7CCD" w:rsidRDefault="007C7CCD" w:rsidP="007C7CC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Аттестацию инициирует педагог.</w:t>
      </w:r>
    </w:p>
    <w:p w:rsidR="007C7CCD" w:rsidRPr="007C7CCD" w:rsidRDefault="007C7CCD" w:rsidP="007C7CC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 процедуре допускаются только педагоги с высшей категорией.</w:t>
      </w:r>
    </w:p>
    <w:p w:rsidR="007C7CCD" w:rsidRPr="007C7CCD" w:rsidRDefault="007C7CCD" w:rsidP="007C7CCD">
      <w:pPr>
        <w:numPr>
          <w:ilvl w:val="0"/>
          <w:numId w:val="5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Категорию устанавливают при условии, что педагог выполняет дополнительные функции, касающиеся </w:t>
      </w:r>
      <w:proofErr w:type="spellStart"/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методработы</w:t>
      </w:r>
      <w:proofErr w:type="spellEnd"/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 наставничества.</w:t>
      </w:r>
    </w:p>
    <w:p w:rsidR="007C7CCD" w:rsidRPr="007C7CCD" w:rsidRDefault="007C7CCD" w:rsidP="007C7CCD">
      <w:pPr>
        <w:numPr>
          <w:ilvl w:val="0"/>
          <w:numId w:val="5"/>
        </w:numPr>
        <w:spacing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Работодатель должен представить в комиссию ходатайство с описанием методической или наставнической деятельности педагога.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5981"/>
      </w:tblGrid>
      <w:tr w:rsidR="007C7CCD" w:rsidRPr="007C7CCD" w:rsidTr="007C7CCD">
        <w:trPr>
          <w:trHeight w:val="336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7CCD" w:rsidRPr="007C7CCD" w:rsidRDefault="007C7CCD" w:rsidP="007C7CCD">
            <w:pPr>
              <w:spacing w:after="4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 присвоения категории «педагог-методист» и «педагог-наставник»</w:t>
            </w:r>
          </w:p>
        </w:tc>
      </w:tr>
      <w:tr w:rsidR="007C7CCD" w:rsidRPr="007C7CCD" w:rsidTr="007C7CCD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 присвоения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Педагог-методист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</w:t>
            </w:r>
            <w:proofErr w:type="spellStart"/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методобъединением</w:t>
            </w:r>
            <w:proofErr w:type="spellEnd"/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активно участвует в методической работе школы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коллегам методическую поддержку при подготовке к профессиональным конкурсам и помогает им в профессиональном развитии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опыт по использованию авторских учебных и учебно-методических разработок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практической подготовкой студентов по образовательным программам СПО, ВО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наставником </w:t>
            </w:r>
            <w:proofErr w:type="spellStart"/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организации, активно сопровождает их профессиональное развитие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</w:tr>
      <w:tr w:rsidR="007C7CCD" w:rsidRPr="007C7CCD" w:rsidTr="007C7CCD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C7CCD" w:rsidRPr="007C7CCD" w:rsidRDefault="007C7CCD" w:rsidP="007C7CCD">
            <w:pPr>
              <w:spacing w:after="45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 авторские подходы и методические разработки в области наставничества</w:t>
            </w:r>
          </w:p>
        </w:tc>
      </w:tr>
    </w:tbl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Механизм аттестации на эти категории подробно описали в шпаргалке.</w:t>
      </w:r>
    </w:p>
    <w:p w:rsidR="007C7CCD" w:rsidRPr="007C7CCD" w:rsidRDefault="007C7CCD" w:rsidP="007C7CCD">
      <w:pPr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статьи есть </w:t>
      </w:r>
      <w:hyperlink r:id="rId9" w:anchor="articleMaterials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шпаргалка</w:t>
        </w:r>
      </w:hyperlink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Присвоение одной из этих категорий предполагает, что педагог будет выполнять в образовательной организации дополнительные обязанности, связанные с методической работой или наставничеством. Сроки действия категорий в Порядке не указаны.</w:t>
      </w:r>
    </w:p>
    <w:p w:rsidR="007C7CCD" w:rsidRPr="007C7CCD" w:rsidRDefault="007C7CCD" w:rsidP="007C7CCD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В новом Порядке четко сказано, что наличие категорий является основанием для дифференциации оплаты труда. А это значит, что за дополнительные обязанности педагоги смогут получать и дополнительную оплату.</w:t>
      </w:r>
    </w:p>
    <w:p w:rsidR="007C7CCD" w:rsidRPr="007C7CCD" w:rsidRDefault="007C7CCD" w:rsidP="007C7CCD">
      <w:pPr>
        <w:spacing w:before="405" w:after="30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4" w:name="10"/>
      <w:r w:rsidRPr="007C7CCD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Отказ от аттестации педагогических работников</w:t>
      </w:r>
      <w:bookmarkEnd w:id="4"/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Сотрудники не могут отказаться от аттестации на соответствие. Это обязательный процесс. В случае отказа педагога решение об аттестации комиссия принимает в его отсутствие. </w:t>
      </w:r>
    </w:p>
    <w:p w:rsidR="007C7CCD" w:rsidRPr="007C7CCD" w:rsidRDefault="007C7CCD" w:rsidP="007C7CCD">
      <w:pPr>
        <w:numPr>
          <w:ilvl w:val="0"/>
          <w:numId w:val="6"/>
        </w:numPr>
        <w:spacing w:after="90" w:line="240" w:lineRule="auto"/>
        <w:ind w:left="0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Если работник не смог присутствовать на заседании комиссии по уважительной причине, процедуру переносят.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просвещения РФ дало пояснения к новому Порядку аттестации в формате «Вопросы — ответы». Их вы также найдете в шпаргалке к статье.</w:t>
      </w:r>
    </w:p>
    <w:p w:rsidR="007C7CCD" w:rsidRPr="007C7CCD" w:rsidRDefault="007C7CCD" w:rsidP="007C7CCD">
      <w:pPr>
        <w:spacing w:after="30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C7CC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Шпаргалка</w:t>
      </w:r>
    </w:p>
    <w:p w:rsidR="007C7CCD" w:rsidRPr="007C7CCD" w:rsidRDefault="007C7CCD" w:rsidP="007C7CCD">
      <w:pPr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C7CC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шпаргалке собрана полезная информация из статьи:</w:t>
      </w:r>
    </w:p>
    <w:p w:rsidR="007C7CCD" w:rsidRPr="007C7CCD" w:rsidRDefault="007C7CCD" w:rsidP="007C7CCD">
      <w:pPr>
        <w:numPr>
          <w:ilvl w:val="0"/>
          <w:numId w:val="7"/>
        </w:numPr>
        <w:spacing w:after="100" w:afterAutospacing="1" w:line="240" w:lineRule="auto"/>
        <w:ind w:left="120" w:firstLine="0"/>
        <w:rPr>
          <w:rFonts w:ascii="Arial" w:eastAsia="Times New Roman" w:hAnsi="Arial" w:cs="Arial"/>
          <w:color w:val="A0A0A0"/>
          <w:sz w:val="2"/>
          <w:szCs w:val="2"/>
          <w:lang w:eastAsia="ru-RU"/>
        </w:rPr>
      </w:pPr>
      <w:hyperlink r:id="rId10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 xml:space="preserve">Новый порядок аттестации </w:t>
        </w:r>
        <w:proofErr w:type="spellStart"/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педработников</w:t>
        </w:r>
        <w:proofErr w:type="spellEnd"/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. Вопросы — ответы</w:t>
        </w:r>
      </w:hyperlink>
      <w:r w:rsidRPr="007C7CCD">
        <w:rPr>
          <w:rFonts w:ascii="Arial" w:eastAsia="Times New Roman" w:hAnsi="Arial" w:cs="Arial"/>
          <w:color w:val="A0A0A0"/>
          <w:sz w:val="2"/>
          <w:szCs w:val="2"/>
          <w:lang w:eastAsia="ru-RU"/>
        </w:rPr>
        <w:t> </w:t>
      </w:r>
      <w:r w:rsidRPr="007C7CCD">
        <w:rPr>
          <w:rFonts w:ascii="Arial" w:eastAsia="Times New Roman" w:hAnsi="Arial" w:cs="Arial"/>
          <w:color w:val="A0A0A0"/>
          <w:sz w:val="23"/>
          <w:szCs w:val="23"/>
          <w:lang w:eastAsia="ru-RU"/>
        </w:rPr>
        <w:t>298.1 КБ</w:t>
      </w:r>
    </w:p>
    <w:p w:rsidR="007C7CCD" w:rsidRPr="007C7CCD" w:rsidRDefault="007C7CCD" w:rsidP="007C7CCD">
      <w:pPr>
        <w:numPr>
          <w:ilvl w:val="0"/>
          <w:numId w:val="7"/>
        </w:numPr>
        <w:spacing w:after="100" w:afterAutospacing="1" w:line="240" w:lineRule="auto"/>
        <w:ind w:left="120" w:firstLine="0"/>
        <w:rPr>
          <w:rFonts w:ascii="Arial" w:eastAsia="Times New Roman" w:hAnsi="Arial" w:cs="Arial"/>
          <w:color w:val="A0A0A0"/>
          <w:sz w:val="2"/>
          <w:szCs w:val="2"/>
          <w:lang w:eastAsia="ru-RU"/>
        </w:rPr>
      </w:pPr>
      <w:hyperlink r:id="rId11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Основания для присвоения первой и высшей квалификационной категории</w:t>
        </w:r>
      </w:hyperlink>
      <w:r w:rsidRPr="007C7CCD">
        <w:rPr>
          <w:rFonts w:ascii="Arial" w:eastAsia="Times New Roman" w:hAnsi="Arial" w:cs="Arial"/>
          <w:color w:val="A0A0A0"/>
          <w:sz w:val="2"/>
          <w:szCs w:val="2"/>
          <w:lang w:eastAsia="ru-RU"/>
        </w:rPr>
        <w:t> </w:t>
      </w:r>
      <w:r w:rsidRPr="007C7CCD">
        <w:rPr>
          <w:rFonts w:ascii="Arial" w:eastAsia="Times New Roman" w:hAnsi="Arial" w:cs="Arial"/>
          <w:color w:val="A0A0A0"/>
          <w:sz w:val="23"/>
          <w:szCs w:val="23"/>
          <w:lang w:eastAsia="ru-RU"/>
        </w:rPr>
        <w:t>558.8 КБ</w:t>
      </w:r>
    </w:p>
    <w:p w:rsidR="007C7CCD" w:rsidRPr="007C7CCD" w:rsidRDefault="007C7CCD" w:rsidP="007C7CCD">
      <w:pPr>
        <w:numPr>
          <w:ilvl w:val="0"/>
          <w:numId w:val="7"/>
        </w:numPr>
        <w:spacing w:after="100" w:afterAutospacing="1" w:line="240" w:lineRule="auto"/>
        <w:ind w:left="120" w:firstLine="0"/>
        <w:rPr>
          <w:rFonts w:ascii="Arial" w:eastAsia="Times New Roman" w:hAnsi="Arial" w:cs="Arial"/>
          <w:color w:val="A0A0A0"/>
          <w:sz w:val="2"/>
          <w:szCs w:val="2"/>
          <w:lang w:eastAsia="ru-RU"/>
        </w:rPr>
      </w:pPr>
      <w:hyperlink r:id="rId12" w:history="1">
        <w:r w:rsidRPr="007C7CCD">
          <w:rPr>
            <w:rFonts w:ascii="Arial" w:eastAsia="Times New Roman" w:hAnsi="Arial" w:cs="Arial"/>
            <w:color w:val="D94440"/>
            <w:sz w:val="23"/>
            <w:szCs w:val="23"/>
            <w:u w:val="single"/>
            <w:lang w:eastAsia="ru-RU"/>
          </w:rPr>
          <w:t>Процедура аттестации на категории «педагог</w:t>
        </w:r>
        <w:r w:rsidRPr="007C7CCD">
          <w:rPr>
            <w:rFonts w:ascii="Arial" w:eastAsia="Times New Roman" w:hAnsi="Arial" w:cs="Arial"/>
            <w:color w:val="D94440"/>
            <w:sz w:val="23"/>
            <w:szCs w:val="23"/>
            <w:u w:val="single"/>
            <w:lang w:eastAsia="ru-RU"/>
          </w:rPr>
          <w:noBreakHyphen/>
          <w:t>методист» и «педагог</w:t>
        </w:r>
        <w:r w:rsidRPr="007C7CCD">
          <w:rPr>
            <w:rFonts w:ascii="Arial" w:eastAsia="Times New Roman" w:hAnsi="Arial" w:cs="Arial"/>
            <w:color w:val="D94440"/>
            <w:sz w:val="23"/>
            <w:szCs w:val="23"/>
            <w:u w:val="single"/>
            <w:lang w:eastAsia="ru-RU"/>
          </w:rPr>
          <w:noBreakHyphen/>
          <w:t>наставник»</w:t>
        </w:r>
      </w:hyperlink>
      <w:r w:rsidRPr="007C7CCD">
        <w:rPr>
          <w:rFonts w:ascii="Arial" w:eastAsia="Times New Roman" w:hAnsi="Arial" w:cs="Arial"/>
          <w:color w:val="A0A0A0"/>
          <w:sz w:val="2"/>
          <w:szCs w:val="2"/>
          <w:lang w:eastAsia="ru-RU"/>
        </w:rPr>
        <w:t> </w:t>
      </w:r>
      <w:r w:rsidRPr="007C7CCD">
        <w:rPr>
          <w:rFonts w:ascii="Arial" w:eastAsia="Times New Roman" w:hAnsi="Arial" w:cs="Arial"/>
          <w:color w:val="A0A0A0"/>
          <w:sz w:val="23"/>
          <w:szCs w:val="23"/>
          <w:lang w:eastAsia="ru-RU"/>
        </w:rPr>
        <w:t>576.7 КБ</w:t>
      </w:r>
    </w:p>
    <w:p w:rsidR="007C7CCD" w:rsidRPr="007C7CCD" w:rsidRDefault="007C7CCD" w:rsidP="007C7CCD">
      <w:pPr>
        <w:numPr>
          <w:ilvl w:val="0"/>
          <w:numId w:val="7"/>
        </w:numPr>
        <w:spacing w:after="100" w:afterAutospacing="1" w:line="240" w:lineRule="auto"/>
        <w:ind w:left="120" w:firstLine="0"/>
        <w:rPr>
          <w:rFonts w:ascii="Arial" w:eastAsia="Times New Roman" w:hAnsi="Arial" w:cs="Arial"/>
          <w:color w:val="A0A0A0"/>
          <w:sz w:val="2"/>
          <w:szCs w:val="2"/>
          <w:lang w:eastAsia="ru-RU"/>
        </w:rPr>
      </w:pPr>
      <w:hyperlink r:id="rId13" w:history="1">
        <w:r w:rsidRPr="007C7CCD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Процедура аттестации на соответствие занимаемой должности</w:t>
        </w:r>
      </w:hyperlink>
      <w:r w:rsidRPr="007C7CCD">
        <w:rPr>
          <w:rFonts w:ascii="Arial" w:eastAsia="Times New Roman" w:hAnsi="Arial" w:cs="Arial"/>
          <w:color w:val="A0A0A0"/>
          <w:sz w:val="2"/>
          <w:szCs w:val="2"/>
          <w:lang w:eastAsia="ru-RU"/>
        </w:rPr>
        <w:t> </w:t>
      </w:r>
      <w:r w:rsidRPr="007C7CCD">
        <w:rPr>
          <w:rFonts w:ascii="Arial" w:eastAsia="Times New Roman" w:hAnsi="Arial" w:cs="Arial"/>
          <w:color w:val="A0A0A0"/>
          <w:sz w:val="23"/>
          <w:szCs w:val="23"/>
          <w:lang w:eastAsia="ru-RU"/>
        </w:rPr>
        <w:t>484.6 КБ</w:t>
      </w:r>
    </w:p>
    <w:p w:rsidR="007C7CCD" w:rsidRPr="007C7CCD" w:rsidRDefault="007C7CCD" w:rsidP="007C7CCD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5" w:name="_GoBack"/>
      <w:bookmarkEnd w:id="5"/>
      <w:r w:rsidRPr="007C7CC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42B25" w:rsidRPr="007C7CCD" w:rsidRDefault="007C7CCD">
      <w:pPr>
        <w:rPr>
          <w:b/>
        </w:rPr>
      </w:pPr>
    </w:p>
    <w:sectPr w:rsidR="00142B25" w:rsidRPr="007C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3B0"/>
    <w:multiLevelType w:val="multilevel"/>
    <w:tmpl w:val="896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D2C"/>
    <w:multiLevelType w:val="multilevel"/>
    <w:tmpl w:val="3BAE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D5FA3"/>
    <w:multiLevelType w:val="multilevel"/>
    <w:tmpl w:val="6BA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D4E2D"/>
    <w:multiLevelType w:val="multilevel"/>
    <w:tmpl w:val="8DBC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D46DF"/>
    <w:multiLevelType w:val="multilevel"/>
    <w:tmpl w:val="2B5C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E652B"/>
    <w:multiLevelType w:val="multilevel"/>
    <w:tmpl w:val="DFB6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F0320"/>
    <w:multiLevelType w:val="multilevel"/>
    <w:tmpl w:val="142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D"/>
    <w:rsid w:val="00331290"/>
    <w:rsid w:val="00386442"/>
    <w:rsid w:val="007C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8320-D7AA-4455-BAE5-501FDDF0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1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792629709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57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05214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2" w:space="17" w:color="D70C17"/>
                <w:bottom w:val="none" w:sz="0" w:space="0" w:color="auto"/>
                <w:right w:val="none" w:sz="0" w:space="0" w:color="auto"/>
              </w:divBdr>
            </w:div>
            <w:div w:id="1376734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4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4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57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562?agreeToSubscription=false&amp;registration-event=1&amp;login=natali2012-smirnowa%40ya.ru" TargetMode="External"/><Relationship Id="rId13" Type="http://schemas.openxmlformats.org/officeDocument/2006/relationships/hyperlink" Target="https://school.kontur.ru/material/10813?key=1695033247_2821f9a53fc02c72906d1d5e21b8df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562?agreeToSubscription=false&amp;registration-event=1&amp;login=natali2012-smirnowa%40ya.ru" TargetMode="External"/><Relationship Id="rId12" Type="http://schemas.openxmlformats.org/officeDocument/2006/relationships/hyperlink" Target="https://school.kontur.ru/material/10815?key=1695033247_4830f43c0aac0306655b0d6419e2bc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9829" TargetMode="External"/><Relationship Id="rId11" Type="http://schemas.openxmlformats.org/officeDocument/2006/relationships/hyperlink" Target="https://school.kontur.ru/material/10814?key=1695033247_730cef4261ce4fb3f249ae558f7f355a" TargetMode="External"/><Relationship Id="rId5" Type="http://schemas.openxmlformats.org/officeDocument/2006/relationships/hyperlink" Target="https://school.kontur.ru/courses/918-demo?utm_exp=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.kontur.ru/material/10827?key=1695033247_59ac3c87122b04c066788703c89bda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publications/2562?agreeToSubscription=false&amp;registration-event=1&amp;login=natali2012-smirnowa%40y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2023-09-18T10:36:00Z</dcterms:created>
  <dcterms:modified xsi:type="dcterms:W3CDTF">2023-09-18T10:39:00Z</dcterms:modified>
</cp:coreProperties>
</file>