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Национальный проект «Образование»</w:t>
      </w:r>
    </w:p>
    <w:p w:rsidR="004058FA" w:rsidRPr="004058FA" w:rsidRDefault="004058FA" w:rsidP="00405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6954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проект «Образование»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33"/>
          <w:szCs w:val="33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363E51"/>
          <w:sz w:val="33"/>
          <w:szCs w:val="33"/>
          <w:lang w:eastAsia="ru-RU"/>
        </w:rPr>
        <w:t>Сроки реализации: 01.01.2019 - 31.12.2024</w: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Федеральные проекты, входящие в национальный проект:</w:t>
      </w:r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6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Современная школа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7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Успех каждого ребенка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8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Поддержка семей, имеющих детей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9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Цифровая образовательная среда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lastRenderedPageBreak/>
        <w:t>›</w:t>
      </w:r>
      <w:hyperlink r:id="rId10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Учитель будущего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11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Молодые профессионалы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12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Новые возможности для каждого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13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Социальная активность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14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Экспорт образования</w:t>
        </w:r>
      </w:hyperlink>
    </w:p>
    <w:p w:rsidR="004058FA" w:rsidRPr="004058FA" w:rsidRDefault="004058FA" w:rsidP="004058FA">
      <w:pPr>
        <w:numPr>
          <w:ilvl w:val="0"/>
          <w:numId w:val="1"/>
        </w:numPr>
        <w:spacing w:after="795" w:line="240" w:lineRule="auto"/>
        <w:ind w:left="-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olor w:val="2865E9"/>
          <w:sz w:val="30"/>
          <w:lang w:eastAsia="ru-RU"/>
        </w:rPr>
        <w:t>›</w:t>
      </w:r>
      <w:hyperlink r:id="rId15" w:history="1">
        <w:r w:rsidRPr="004058FA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  <w:lang w:eastAsia="ru-RU"/>
          </w:rPr>
          <w:t>Социальные лифты для каждого</w:t>
        </w:r>
      </w:hyperlink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agram" style="width:24pt;height:24pt"/>
        </w:pic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Источники: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723,3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— федеральный бюджет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45,7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— бюджеты субъектов РФ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15,4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— внебюджетные источники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3" name="Рисунок 3" descr="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</w:pPr>
      <w:r w:rsidRPr="004058FA"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  <w:t>КУРАТОР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  <w:t>Т. А. ГОЛИКОВА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F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</w:t>
      </w:r>
      <w:r w:rsidRPr="004058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Председателя Правительства Российской Федерации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19050" t="0" r="0" b="0"/>
            <wp:docPr id="4" name="Рисунок 4" descr="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</w:pPr>
      <w:r w:rsidRPr="004058FA"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  <w:t>РУКОВОДИТЕЛЬ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  <w:t>О. Ю. ВАСИЛЬЕВА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19050" t="0" r="0" b="0"/>
            <wp:docPr id="5" name="Рисунок 5" descr="phot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</w:pPr>
      <w:r w:rsidRPr="004058FA">
        <w:rPr>
          <w:rFonts w:ascii="Times New Roman" w:eastAsia="Times New Roman" w:hAnsi="Times New Roman" w:cs="Times New Roman"/>
          <w:caps/>
          <w:color w:val="212529"/>
          <w:sz w:val="21"/>
          <w:szCs w:val="21"/>
          <w:lang w:eastAsia="ru-RU"/>
        </w:rPr>
        <w:t>АДМИНИСТРАТОР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  <w:lang w:eastAsia="ru-RU"/>
        </w:rPr>
        <w:t>М. Н. РАКОВА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F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Министра просвещения Российской Федерации</w: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1.1. Средневзвешенный результат Российской Федерации в группе международных исследований качества общего образования, средневзвешенное место Российской Федерации (не ниже)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base-value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3533775"/>
            <wp:effectExtent l="19050" t="0" r="9525" b="0"/>
            <wp:docPr id="7" name="Рисунок 7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-valu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будет ликвидировано обучение в 3-ю смену к концу 2021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70%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4058FA" w:rsidRPr="004058FA" w:rsidRDefault="004058FA" w:rsidP="004058FA">
      <w:pPr>
        <w:spacing w:after="100" w:afterAutospacing="1" w:line="240" w:lineRule="auto"/>
        <w:outlineLvl w:val="2"/>
        <w:rPr>
          <w:rFonts w:ascii="inherit" w:eastAsia="Times New Roman" w:hAnsi="inherit" w:cs="Times New Roman"/>
          <w:color w:val="363E51"/>
          <w:sz w:val="33"/>
          <w:szCs w:val="33"/>
          <w:lang w:eastAsia="ru-RU"/>
        </w:rPr>
      </w:pPr>
      <w:r w:rsidRPr="004058FA">
        <w:rPr>
          <w:rFonts w:ascii="inherit" w:eastAsia="Times New Roman" w:hAnsi="inherit" w:cs="Times New Roman"/>
          <w:color w:val="363E51"/>
          <w:sz w:val="33"/>
          <w:szCs w:val="33"/>
          <w:lang w:eastAsia="ru-RU"/>
        </w:rPr>
        <w:t>Будет создана сеть центров цифрового образования детей "IT-куб"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diagramma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24,5 тыс.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будет обучаться на вновь созданных местах в сельских школах и в школах, расположенных в поселках городского типа, к концу 2023 г. (тыс.)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base-value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25 школ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построено и введено в эксплуатацию с привлечением частных инвестиций к концу 2024 года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lastRenderedPageBreak/>
        <w:t>230 тыс.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70%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т.ч. в обновлении образовательных программ,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На 100%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введена национальная система учительского роста педагогических работников к концу 2020 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70% учителей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возрасте до 35 лет будут вовлечены в различные формы поддержки и сопровождения в первые три года работы,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Не менее 10%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50%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</w:t>
      </w:r>
      <w:r w:rsidRPr="004058FA">
        <w:rPr>
          <w:rFonts w:ascii="Times New Roman" w:eastAsia="Times New Roman" w:hAnsi="Times New Roman" w:cs="Times New Roman"/>
          <w:sz w:val="45"/>
          <w:lang w:eastAsia="ru-RU"/>
        </w:rPr>
        <w:t>900 тыс. детей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8FA">
        <w:rPr>
          <w:rFonts w:ascii="Times New Roman" w:eastAsia="Times New Roman" w:hAnsi="Times New Roman" w:cs="Times New Roman"/>
          <w:sz w:val="45"/>
          <w:lang w:eastAsia="ru-RU"/>
        </w:rPr>
        <w:t>5% обучающихся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  <w:proofErr w:type="gramEnd"/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85 субъектах РФ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 xml:space="preserve">Модернизация профессионального образования, в том числе посредством внедрения адаптивных, </w:t>
      </w:r>
      <w:proofErr w:type="spellStart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практик</w:t>
      </w:r>
      <w:proofErr w:type="gramStart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о</w:t>
      </w:r>
      <w:proofErr w:type="spellEnd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-</w:t>
      </w:r>
      <w:proofErr w:type="gramEnd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 xml:space="preserve"> ориентированных и гибких образовательных программ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3352800"/>
            <wp:effectExtent l="19050" t="0" r="0" b="0"/>
            <wp:docPr id="10" name="Рисунок 10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-valu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чемпионат по профессиональному мастерству по стандартам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в </w:t>
      </w:r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Казани в августе 2019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modern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85 субъектов РФ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продолжительности программ не более 6 месяцев, к концу 2023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35 тыс. преподавателей-мастеров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производственного обучения повысят квалификацию по программам, основанным на опыте Союза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не менее 10 тыс. из них — будут сертифицированы в качестве экспертов — к концу 2024 г.</w: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1.2. Место Российской Федерации в мире по присутствию университетов в топ-500 глобальных рейтингов университетов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base-value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325" cy="3495675"/>
            <wp:effectExtent l="19050" t="0" r="9525" b="0"/>
            <wp:docPr id="13" name="Рисунок 13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-valu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30 университетов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80 вузов из 40 субъектов РФ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включены в перечень образовательных организаций высшего образования, обеспечивающий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20% студентов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будут осваивать отдельные курсы, дисциплины (модули), в том числе в формате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онлайн-курсов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2024  г.</w:t>
      </w:r>
    </w:p>
    <w:p w:rsidR="004058FA" w:rsidRPr="004058FA" w:rsidRDefault="004058FA" w:rsidP="004058FA">
      <w:pPr>
        <w:spacing w:after="100" w:afterAutospacing="1" w:line="240" w:lineRule="auto"/>
        <w:outlineLvl w:val="4"/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  <w:t>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пройдут (</w:t>
      </w:r>
      <w:proofErr w:type="spellStart"/>
      <w:proofErr w:type="gramStart"/>
      <w:r w:rsidRPr="004058FA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  <w:t>млн</w:t>
      </w:r>
      <w:proofErr w:type="spellEnd"/>
      <w:proofErr w:type="gramEnd"/>
      <w:r w:rsidRPr="004058FA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  <w:t xml:space="preserve"> чел.)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obuchenie" style="width:24pt;height:24pt"/>
        </w:pic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lastRenderedPageBreak/>
        <w:t>2.1. Доля детей в возрасте от 5 до 18 лет, охваченных дополнительным образованием</w:t>
      </w:r>
      <w:proofErr w:type="gramStart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 xml:space="preserve"> (%)</w:t>
      </w:r>
      <w:proofErr w:type="gramEnd"/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base-value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3533775"/>
            <wp:effectExtent l="19050" t="0" r="9525" b="0"/>
            <wp:docPr id="16" name="Рисунок 16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-valu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12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45"/>
          <w:lang w:eastAsia="ru-RU"/>
        </w:rPr>
        <w:t>млн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 детей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примут участие в открытых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онлайн-уроках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с учетом опыта цикла открытых уроков «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900 тыс. детей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Для 935 тыс. детей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children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созданы</w:t>
      </w:r>
      <w:r w:rsidRPr="004058FA">
        <w:rPr>
          <w:rFonts w:ascii="Times New Roman" w:eastAsia="Times New Roman" w:hAnsi="Times New Roman" w:cs="Times New Roman"/>
          <w:sz w:val="45"/>
          <w:lang w:eastAsia="ru-RU"/>
        </w:rPr>
        <w:t>100 центров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дополнительные общеобразовательные программы в вузах *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centers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85 субъектах РФ 245 детских технопарков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смогут посещать </w:t>
      </w:r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2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45"/>
          <w:lang w:eastAsia="ru-RU"/>
        </w:rPr>
        <w:t>млн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 детей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смогут изучать «Технологию» и другие предметные области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Не менее чем в 16 тыс. школ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технического и гуманитарного профилей с охватом не менее </w:t>
      </w:r>
      <w:r w:rsidRPr="004058FA">
        <w:rPr>
          <w:rFonts w:ascii="Times New Roman" w:eastAsia="Times New Roman" w:hAnsi="Times New Roman" w:cs="Times New Roman"/>
          <w:sz w:val="45"/>
          <w:lang w:eastAsia="ru-RU"/>
        </w:rPr>
        <w:t>800 тыс. детей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Ученикам 5-11 классов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70% детей с ограниченными возможностями здоровья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обучаться по дополнительным общеобразовательным программам, в том числе с использованием дистанционных технологий</w:t>
      </w:r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  <w:proofErr w:type="gramEnd"/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centers" style="width:24pt;height:24pt"/>
        </w:pic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2.2.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</w:t>
      </w:r>
      <w:proofErr w:type="spellStart"/>
      <w:proofErr w:type="gramStart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млн</w:t>
      </w:r>
      <w:proofErr w:type="spellEnd"/>
      <w:proofErr w:type="gramEnd"/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 xml:space="preserve"> человек) *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base-value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3533775"/>
            <wp:effectExtent l="19050" t="0" r="9525" b="0"/>
            <wp:docPr id="21" name="Рисунок 21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-valu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85 субъектах РФ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:rsidR="004058FA" w:rsidRPr="004058FA" w:rsidRDefault="004058FA" w:rsidP="004058F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персонализированный учет волонтеров, организаций, развивающих волонтерскую деятельность;</w:t>
      </w:r>
    </w:p>
    <w:p w:rsidR="004058FA" w:rsidRPr="004058FA" w:rsidRDefault="004058FA" w:rsidP="004058F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</w:p>
    <w:p w:rsidR="004058FA" w:rsidRPr="004058FA" w:rsidRDefault="004058FA" w:rsidP="004058F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учреждены награды и звания, стипендиальная поддержка (для </w:t>
      </w:r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58FA" w:rsidRPr="004058FA" w:rsidRDefault="004058FA" w:rsidP="004058F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нематериальная поддержка граждан, участвующих в добровольческой деятельности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25 тыс. специалистов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:rsidR="004058FA" w:rsidRPr="004058FA" w:rsidRDefault="004058FA" w:rsidP="004058FA">
      <w:pPr>
        <w:spacing w:after="100" w:afterAutospacing="1" w:line="240" w:lineRule="auto"/>
        <w:outlineLvl w:val="4"/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eastAsia="ru-RU"/>
        </w:rPr>
        <w:t>До конца 2024 года будут проведены мероприятия по различным направлениям добровольчества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high" style="width:24pt;height:24pt"/>
        </w:pic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lastRenderedPageBreak/>
        <w:t>1100 тыс. человек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</w:p>
    <w:p w:rsidR="004058FA" w:rsidRPr="004058FA" w:rsidRDefault="004058FA" w:rsidP="004058FA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</w:pPr>
      <w:r w:rsidRPr="004058FA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eastAsia="ru-RU"/>
        </w:rPr>
        <w:t>Дополнительные результаты национального проекта</w:t>
      </w:r>
    </w:p>
    <w:p w:rsidR="004058FA" w:rsidRPr="004058FA" w:rsidRDefault="004058FA" w:rsidP="0040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1,7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45"/>
          <w:lang w:eastAsia="ru-RU"/>
        </w:rPr>
        <w:t>млн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45"/>
          <w:lang w:eastAsia="ru-RU"/>
        </w:rPr>
        <w:t xml:space="preserve"> граждан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примут участие в 35 конкурсах профессионального и карьерного роста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60 университетов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реализовывать не менее чем по </w:t>
      </w:r>
      <w:r w:rsidRPr="004058FA">
        <w:rPr>
          <w:rFonts w:ascii="Times New Roman" w:eastAsia="Times New Roman" w:hAnsi="Times New Roman" w:cs="Times New Roman"/>
          <w:sz w:val="45"/>
          <w:lang w:eastAsia="ru-RU"/>
        </w:rPr>
        <w:t>5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программ, прошедших международную аккредитацию,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2 раза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увеличено количество иностранных студентов, обучающихся в российских вузах (до 425 тыс. человек),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77,6 тыс. новых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 появятся в студенческих городках для проживания иностранных и иногородних студентов и преподавателей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50 ресурсных центров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созданы для детей и педагогов с обучением на русском языке в странах-партнерах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18 тыс. иностранных граждан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пройдут обучение в летних и зимних школах, в т.ч. на базе летних оздоровительных лагерей,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будет проводиться национальный чемпионат «</w:t>
      </w:r>
      <w:proofErr w:type="spell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:rsidR="004058FA" w:rsidRPr="004058FA" w:rsidRDefault="004058FA" w:rsidP="004058FA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FA">
        <w:rPr>
          <w:rFonts w:ascii="Times New Roman" w:eastAsia="Times New Roman" w:hAnsi="Times New Roman" w:cs="Times New Roman"/>
          <w:sz w:val="45"/>
          <w:lang w:eastAsia="ru-RU"/>
        </w:rPr>
        <w:t>В 85 субъектах РФ</w:t>
      </w:r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</w:t>
      </w:r>
      <w:proofErr w:type="spellStart"/>
      <w:proofErr w:type="gramStart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0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психолого-педагогической, методической и консультативной помощи к концу 2024  г.</w:t>
      </w:r>
    </w:p>
    <w:p w:rsidR="00AB4684" w:rsidRDefault="00AB4684"/>
    <w:sectPr w:rsidR="00AB4684" w:rsidSect="004058FA">
      <w:pgSz w:w="16838" w:h="11906" w:orient="landscape"/>
      <w:pgMar w:top="1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A32"/>
    <w:multiLevelType w:val="multilevel"/>
    <w:tmpl w:val="91F8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7A43"/>
    <w:multiLevelType w:val="multilevel"/>
    <w:tmpl w:val="911EA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8FA"/>
    <w:rsid w:val="004058FA"/>
    <w:rsid w:val="00A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4"/>
  </w:style>
  <w:style w:type="paragraph" w:styleId="2">
    <w:name w:val="heading 2"/>
    <w:basedOn w:val="a"/>
    <w:link w:val="20"/>
    <w:uiPriority w:val="9"/>
    <w:qFormat/>
    <w:rsid w:val="0040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058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-arrow-right">
    <w:name w:val="np-arrow-right"/>
    <w:basedOn w:val="a0"/>
    <w:rsid w:val="004058FA"/>
  </w:style>
  <w:style w:type="character" w:styleId="a4">
    <w:name w:val="Hyperlink"/>
    <w:basedOn w:val="a0"/>
    <w:uiPriority w:val="99"/>
    <w:semiHidden/>
    <w:unhideWhenUsed/>
    <w:rsid w:val="004058FA"/>
    <w:rPr>
      <w:color w:val="0000FF"/>
      <w:u w:val="single"/>
    </w:rPr>
  </w:style>
  <w:style w:type="character" w:customStyle="1" w:styleId="np-text-lg">
    <w:name w:val="np-text-lg"/>
    <w:basedOn w:val="a0"/>
    <w:rsid w:val="004058FA"/>
  </w:style>
  <w:style w:type="paragraph" w:styleId="a5">
    <w:name w:val="Balloon Text"/>
    <w:basedOn w:val="a"/>
    <w:link w:val="a6"/>
    <w:uiPriority w:val="99"/>
    <w:semiHidden/>
    <w:unhideWhenUsed/>
    <w:rsid w:val="0040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761">
              <w:marLeft w:val="0"/>
              <w:marRight w:val="8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624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04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" TargetMode="External"/><Relationship Id="rId13" Type="http://schemas.openxmlformats.org/officeDocument/2006/relationships/hyperlink" Target="https://edu.gov.ru/national-project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edu.gov.ru/national-project" TargetMode="External"/><Relationship Id="rId12" Type="http://schemas.openxmlformats.org/officeDocument/2006/relationships/hyperlink" Target="https://edu.gov.ru/national-project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" TargetMode="External"/><Relationship Id="rId11" Type="http://schemas.openxmlformats.org/officeDocument/2006/relationships/hyperlink" Target="https://edu.gov.ru/national-projec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du.gov.ru/national-project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edu.gov.ru/national-project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" TargetMode="External"/><Relationship Id="rId14" Type="http://schemas.openxmlformats.org/officeDocument/2006/relationships/hyperlink" Target="https://edu.gov.ru/national-project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2114</Words>
  <Characters>12054</Characters>
  <Application>Microsoft Office Word</Application>
  <DocSecurity>0</DocSecurity>
  <Lines>100</Lines>
  <Paragraphs>28</Paragraphs>
  <ScaleCrop>false</ScaleCrop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2020-02-02T10:17:00Z</dcterms:created>
  <dcterms:modified xsi:type="dcterms:W3CDTF">2020-02-02T10:17:00Z</dcterms:modified>
</cp:coreProperties>
</file>