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69" w:rsidRDefault="00C80269" w:rsidP="00C80269">
      <w:pPr>
        <w:spacing w:after="0" w:line="264" w:lineRule="auto"/>
        <w:outlineLvl w:val="1"/>
        <w:rPr>
          <w:rFonts w:ascii="Cuprum" w:eastAsia="Times New Roman" w:hAnsi="Cuprum" w:cs="Times New Roman"/>
          <w:b/>
          <w:color w:val="444444"/>
          <w:sz w:val="32"/>
          <w:szCs w:val="32"/>
          <w:lang w:eastAsia="ru-RU"/>
        </w:rPr>
      </w:pPr>
      <w:r w:rsidRPr="00C80269">
        <w:rPr>
          <w:rFonts w:ascii="Cuprum" w:eastAsia="Times New Roman" w:hAnsi="Cuprum" w:cs="Times New Roman"/>
          <w:b/>
          <w:color w:val="444444"/>
          <w:sz w:val="32"/>
          <w:szCs w:val="32"/>
          <w:lang w:eastAsia="ru-RU"/>
        </w:rPr>
        <w:t xml:space="preserve">Примерный перечень нормативно-правовых документов федерального, регионального уровней, локальных актов образовательных организаций, регламентирующих введение и реализацию ФГОС дошкольного образования </w:t>
      </w:r>
    </w:p>
    <w:p w:rsidR="00C80269" w:rsidRPr="00C80269" w:rsidRDefault="00C80269" w:rsidP="00C80269">
      <w:pPr>
        <w:spacing w:after="0" w:line="264" w:lineRule="auto"/>
        <w:outlineLvl w:val="1"/>
        <w:rPr>
          <w:rFonts w:ascii="Cuprum" w:eastAsia="Times New Roman" w:hAnsi="Cuprum" w:cs="Times New Roman"/>
          <w:b/>
          <w:color w:val="444444"/>
          <w:sz w:val="32"/>
          <w:szCs w:val="32"/>
          <w:lang w:eastAsia="ru-RU"/>
        </w:rPr>
      </w:pPr>
    </w:p>
    <w:tbl>
      <w:tblPr>
        <w:tblW w:w="10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2122"/>
        <w:gridCol w:w="4961"/>
        <w:gridCol w:w="3544"/>
      </w:tblGrid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№ п\</w:t>
            </w:r>
            <w:proofErr w:type="gramStart"/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jc w:val="center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Название документа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jc w:val="center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Структура документа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jc w:val="center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Обзор документа</w:t>
            </w:r>
          </w:p>
        </w:tc>
      </w:tr>
      <w:tr w:rsidR="00C80269" w:rsidRPr="00C80269" w:rsidTr="00821344">
        <w:tc>
          <w:tcPr>
            <w:tcW w:w="109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B8145B" w:rsidRDefault="00C80269" w:rsidP="00B8145B">
            <w:pPr>
              <w:pStyle w:val="a7"/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center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B8145B">
              <w:rPr>
                <w:rFonts w:ascii="PT Sans" w:eastAsia="Times New Roman" w:hAnsi="PT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Федеральные документы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9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Извлечения из Федерального закона от 29.12.2012 № 273-ФЗ «Об образовании в Российской Федерации».</w:t>
              </w:r>
            </w:hyperlink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1. Общие положения</w:t>
            </w:r>
            <w:r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1. Предмет регулирования настоящего Федерального закона</w:t>
            </w:r>
            <w:r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2. Основные понятия, используемые в настоящем Федеральном законе</w:t>
            </w:r>
            <w:r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3. Основные принципы государственной политики и правового регулирования отношений в сфере образования</w:t>
            </w:r>
            <w:r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4. Правовое регулирование отношений в сфере образования</w:t>
            </w:r>
            <w:r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5. Право на образование. Государственные гарантии реализации права на образование в Российской Федерации</w:t>
            </w:r>
            <w:r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6. Полномочия федеральных органов государственной власти в сфере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8. Полномочия органов государственной власти субъектов Российской Федерации в сфере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9. Полномочия органов местного самоуправления муниципальных районов и городских округов в сфере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2. Система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10. Структура системы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11. Федеральные государственные образовательные стандарты и федеральные государственные требования. Образовательные стандарты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12. Образовательные программы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13. Общие требования к реализации образовательных программ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14. Язык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16. Реализация образовательных программ с применением электронного обучения и дистанционных образовательных технологий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Статья 18. Печатные и электронные образовательные и информационные ресурсы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19. Научно-методическое и ресурсное обеспечение системы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20. Экспериментальная и инновационная деятельность в сфере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3. Лица, осуществляющие образовательную деятельность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21. Образовательная деятельность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22. Создание, реорганизация, ликвидация образовательных организаций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23. Типы образовательных организаций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25. Устав образовательной организации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26. Управление образовательной организацией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27. Структура образовательной организации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28. Компетенция, права, обязанности и ответственность образовательной организации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29. Информационная открытость образовательной организации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30. Локальные нормативные акты, содержащие нормы, регулирующие образовательные отношения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31. Организации, осуществляющие обучение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32. Индивидуальные предприниматели, осуществляющие образовательную деятельность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4. Обучающиеся и их родители (законные представители)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Статья 33.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34. Основные права обучающихся и меры их социальной поддержки и стимулирования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Статья 41. Охрана здоровья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Статья 42. Психолого-педагогическая, медицинская и социальная помощь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44. Права, обязанности и ответственность в сфере образования родителей (законных представителей) несовершеннолетних обучающихся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45. Защита прав обучающихся, родителей (законных представителей) несовершеннолетних обучающихся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5. Педагогические, руководящие и иные работники организаций, осуществляющих образовательную деятельность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46. Право на занятие педагогической деятельностью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47. Правовой статус педагогических работников. Права и свободы педагогических работников, гарантии их реализации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Статья 48. Обязанности и ответственность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педагогических работников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49. Аттестация педагогических работников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51. Правовой статус руководителя образовательной организации. Президент образовательной организации высшего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52. Иные работники образовательных организаций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7. Общее образование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63. Общее образование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64. Дошкольное образование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10. Дополнительное образование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75. Дополнительное образование детей и взрослых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11. Особенности реализации некоторых видов образовательных программ и получения образования отдельными категориями обучающихся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78. Организация получения образования иностранными гражданами и лицами без гражданства в российских образовательных организациях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12. Управление системой образования. Государственная регламентация образовательной деятельности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89. Управление системой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90. Государственная регламентация образовательной деятельности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91. Лицензирование образовательной деятельности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92. Государственная аккредитация образовательной деятельности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93. Государственный контроль (надзор) в сфере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95. Независимая оценка качества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97. Информационная открытость системы образования. Мониторинг в системе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98. Информационные системы в системе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13. Экономическая деятельность и финансовое обеспечение в сфере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99. Особенности финансового обеспечения оказания государственных и муниципальных услуг в сфере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101. Осуществление образовательной деятельности за счет средств физических лиц и юридических лиц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Статья 102. Имущество образовательных организаций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14. Международное сотрудничество в сфере образования.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105. Формы и направления международного сотрудничества в сфере образования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Глава 15. Заключительные положения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 108. Заключительные положения</w:t>
            </w:r>
            <w:r w:rsidR="00191406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r w:rsidR="00821344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Статья 111. Порядок вступления в силу настоящего Федерального закона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Федеральный закон "Об образовании в Российской Федерации" регулирует управленческие и финансово-экономические  отношения,  содержание образования (в т. ч. устанавливает требования к образовательным программам и стандартам), более подробно регламентирует права и ответственность участников образовательного процесса.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Гарантирует общедоступность и бесплатность дошкольного, школьного и дополнительного образования детей, которое организовано в школах.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Закон очень подробно прописывает, каким образом должно быть организовано обучение детей с ограниченными возможностями, детей-инвалидов и детей, имеющих некоторые ограничения здоровья.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Дошкольное образование  является первой ступенью общего образования, самостоятельным уровнем образования.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Дошкольное образование финансируется по аналогии со школьным – органами местного самоуправления муниципальных районов и городских округов и органами государственной власти субъектов РФ.</w:t>
            </w:r>
            <w:proofErr w:type="gramEnd"/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Согласно ч. 2 ст. 65 за присмотр и уход за ребенком учредитель организации, осуществляющей образовательную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 xml:space="preserve">деятельность, вправе устанавливать плату, взимаемую с родителей (законных представителей).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При этом в соответствии с ч. 5 этой же статьи родителям (законным представителям) выплачивается компенсация в размере, устанавливаемом нормативными правовыми актами субъектов РФ, но не менее 20%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РФ, на первого ребенка, не менее 50% – на второго ребенка и не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менее 70% – на третьего ребенка и последующих детей.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Образовательная программа дошкольного образования  реализуется в дошкольной образовательной организации.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Освоение образовательных программ дошкольного образования регламентируется федеральными государственными образовательными стандартами, но не сопровождается проведением промежуточных аттестаций и итоговой аттестации обучающихся.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Комплекс мер, касающихся снятия ограничения круга лиц с правом на образовательную деятельность с изменениями в законе РФ о дошкольном образовании предполагают немало возможностей для расширения системы частных дошкольных учреждений.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Появление новых возможностей для развития коммерческих детских садов, несомненно, влекут за собой гарантии доступа негосударственных образовательных учреждений к средствам федерального и местного бюджетов.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10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Извлечения из «Федеральной целевой программы развития образования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> </w:t>
            </w:r>
            <w:hyperlink r:id="rId11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на 2011 - 2015 годы» Постановление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> </w:t>
            </w:r>
            <w:hyperlink r:id="rId12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Правительства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> </w:t>
            </w:r>
            <w:hyperlink r:id="rId13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Российской Федерации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> </w:t>
            </w:r>
            <w:hyperlink r:id="rId14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от 7 февраля 2011 г. N 61</w:t>
              </w:r>
            </w:hyperlink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Паспорт Федеральной целевой программы развития образования на 2011 - 2015 годы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I. Характеристика проблемы, на решение которой направлена Программа.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II. Основные цели и задачи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Программы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роки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и этапы ее реализации, перечень целевых индикаторов и показателей, отражающих ход ее выполнения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III. Мероприятия Программы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IV. Обоснование ресурсного обеспечения Программы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V. Механизм реализации Программы, включающий в себя механизм управления Программой, распределение сфер ответственности и механизм взаимодействия государственных заказчиков Программы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VI. Оценка социально-экономической эффективности Программы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Целью программы является 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Задачами программы являются: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 модернизация общего и дошкольного образования как института социального развития;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-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приведение содержания и структуры профессионального образования в соответствие с потребностями рынка труда;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 развитие системы оценки качества образования и востребованности образовательных услуг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Программа будет реализована в 2011-2015 годы в два этапа.</w:t>
            </w:r>
            <w:proofErr w:type="gramEnd"/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На первом этапе (2011-2013 годы) в соответствии с мероприятиями Программы будут сформированы стратегические проекты развития образования, включающие в себя ряд новых взаимоувязанных направлений. Эти проекты будут реализованы субъектами Российской Федерации, образовательными и иными учреждениями и организациями при федеральной поддержке с участием профессионально-педагогического сообщества.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результативности, разработаны сценарии для различных типов образовательных учреждений, регионов, социально-экономических условий, а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также с учетом иных параметров, которые покажут значимость в ходе исследований и практических мероприятий на первом этапе.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На втором этапе (2014-2015 годы) предстоит завершить начатые на первом этапе стратегические проекты, обеспечив последовательные изменения в образовании на всей территории Российской Федерации. На этом этапе будут сформированы новые институты образования, модели управления в условиях широкомасштабного использования ИКТ. Также будут определены основные позиции по целям и задачам Федеральной целевой программы развития образования на следующий период.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color w:val="444444"/>
                <w:sz w:val="21"/>
                <w:szCs w:val="21"/>
                <w:lang w:eastAsia="ru-RU"/>
              </w:rPr>
            </w:pPr>
            <w:hyperlink r:id="rId15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Извлечения из "Национальной стратегии действий в интересах детей на 2012 - 2017 годы"  Указ Президента РФ от 1 июня 2012 г. N 761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I. Введение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1. Основные проблемы в сфере детства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2. Ключевые принципы Национальной стратегии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II. Семейная политика </w:t>
            </w:r>
            <w:proofErr w:type="spellStart"/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детствосбережения</w:t>
            </w:r>
            <w:proofErr w:type="spellEnd"/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1. Краткий анализ ситуации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2. Основные задачи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3. Первоочередные меры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4. Меры, направленные на сокращение бедности среди семей с детьми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5. Меры, направленные на формирование безопасного и комфортного семейного окружения для детей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6. Меры, направленные на профилактику изъятия ребенка из семьи, социального сиротства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7. Ожидаемые результаты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III. Доступность качественного обучения и воспитания, культурное развитие и информационная безопасность детей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1. Краткий анализ ситуации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2. Основные задачи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3. Меры, направленные на обеспечение доступности и качества образования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4. Меры, направленные на поиск и поддержку талантливых детей и молодежи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5. Меры, направленные на развитие воспитания и социализацию детей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6. Меры, направленные на развитие системы дополнительного образования, инфраструктуры творческого развития и воспитания детей</w:t>
            </w:r>
            <w:r w:rsidR="000875E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7. Меры, направленные на обеспечение информационной безопасности детства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8. Ожидаемые результаты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IV. Здравоохранение, дружественное к детям, и здоровый образ жизни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1. Краткий анализ ситуации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2. Основные задачи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3. Меры по созданию дружественного к ребенку здравоохранения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4. Меры по развитию политики формирования здорового образа жизни детей и подростков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6. Меры по формированию культуры здорового питания детей и подростков, обеспечению качества и режима питания как залога здоровья ребенка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7. Ожидаемые результаты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V. Равные возможности для детей, нуждающихся в особой заботе государства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1. Краткий анализ ситуации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2. Основные задачи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3. Меры, направленные на защиту прав и интересов детей-сирот и детей, оставшихся без попечения родителей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4. Меры, направленные на государственную поддержку детей-инвалидов и детей с ограниченными возможностями здоровья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5. Ожидаемые результаты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VI. Создание системы защиты и обеспечения прав и интересов детей и дружественного к ребенку правосудия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1. Краткий анализ ситуации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2. Основные задачи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3. Меры, направленные на реформирование законодательства Российской Федерации в части, касающейся защиты прав и интересов детей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7. Ожидаемые результаты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                   </w:t>
            </w:r>
            <w:r w:rsidRPr="00C80269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VIII. Механизм реализации Национальной стратегии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Разработана Национальная стратегия действий в интересах детей на 2012-2017 гг.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Она определяет основные направления и задачи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госполитики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в интересах детей и ключевые механизмы ее реализации.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Последние базируются на общепризнанных принципах и нормах международного права.</w:t>
            </w:r>
            <w:proofErr w:type="gramEnd"/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Национальную стратегию планируется реализовывать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следующим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основным направлениям: семейная политика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детствосбережения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; доступность качественного обучения и воспитания, культурное развитие и информационная безопасность несовершеннолетних; здравоохранение и правосудие, дружественные к ребенку; равные возможности для детей, нуждающихся в особой заботе государства, и пр.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В числе первоочередных мер - разработка и принятие федерального закона, определяющего основы государственной семейной политики. Реформирование органов опеки и попечительства и комиссий по делам несовершеннолетних. Кроме того, предстоит усовершенствовать правовые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механизмы, гарантирующие участие обоих родителей в воспитании ребенка при раздельном проживании. Важно улучшать систему налоговых вычетов для семей с детьми. Следует обеспечить регулярность алиментных выплат, в т. ч. путем формирования государственного алиментного фонда.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Предполагается создать систему общественного контроля в сфере обеспечения и защиты прав несовершеннолетних, а также психолого-педагогическую сеть для работы с семьями и трудными детьми. Целесообразно развивать службы примирения в школах и в целях восстановительного правосудия. Обращается внимание на профилактику межэтнической, межконфессиональной и социально-имущественной напряженности в образовательной среде. Возможно, появится национальный ресурсный центр для работы с одаренными детьми. Предусматривается господдержка детских телеканалов и передач, театров и киностудий. Зарплата педагогов в детсадах и культурных учреждениях должна быть на уровне не ниже среднего для учителей в регионе.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16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Извлечения из государственной программы Российской Федерации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br/>
            </w:r>
            <w:hyperlink r:id="rId17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"Развитие образования" на 2013-2020 годы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br/>
            </w:r>
            <w:hyperlink r:id="rId18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(утв. распоряжением Правительства РФ от 15 мая 2013 г. N 792-</w:t>
              </w:r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lastRenderedPageBreak/>
                <w:t>р)</w:t>
              </w:r>
            </w:hyperlink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 I. Общая характеристика сферы реализации Программы, в том числе формулировки основных проблем в указанной сфере и прогноз ее развития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II. Приоритеты государственной политики в сфере образования на период до 2020 года, цели, задачи и показатели (индикаторы) достижения целей и решения задач, описание основных ожидаемых конечных результатов Программы, сроков и этапов ее реализации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XIII. Подпрограммы государственной программы Российской Федерации "Развитие образования" и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федеральные целевые программы (паспорта федеральных целевых программ)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Подпрограмма 2 "Развитие дошкольного, общего образования и дополнительного образования детей"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 xml:space="preserve">Основные задачи программы - сформировать систему непрерывного профобразования, развивать инфраструктуру школ и дошкольных заведений (так, предполагается полностью ликвидировать очереди в детсады), создать условия для дополнительного детского образования. Планируется модернизировать школьные и дошкольные образовательные программы, внедрить новую систему оценки качества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образования.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Образовательные стандарты должны разрабатываться в зависимости от запросов населения и перспектив развития российского общества и экономики.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Госпрограмма включает 5 подпрограмм и 2 ФЦП. Некоторые из них посвящены русскому языку, а также вовлечению молодежи в социальную практику.</w:t>
            </w:r>
            <w:r w:rsidR="000875E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         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Расходы федерального бюджета на реализацию программы составят почти 4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трлн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руб. При этом ежегодные затраты казны возрастут с 446 млрд руб. в 2013 г. до 631 млрд в 2020 г.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color w:val="444444"/>
                <w:sz w:val="21"/>
                <w:szCs w:val="21"/>
                <w:lang w:eastAsia="ru-RU"/>
              </w:rPr>
            </w:pPr>
            <w:hyperlink r:id="rId19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Федеральный государственный образовательный стандарт дошкольного образования. Приказ </w:t>
              </w:r>
              <w:proofErr w:type="spellStart"/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Минобрнауки</w:t>
              </w:r>
              <w:proofErr w:type="spellEnd"/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 России от 17.10.2013 № 1155.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I.Общие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положения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II.Требования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к структуре образовательной программы дошкольного образования и ее объему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III.Требования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к условиям реализации основной образовательной программы дошкольного образования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IV.Требования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к результатам освоения основной образовательной программы дошкольного образования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Стандарт представляет собой совокупность обязательных требований к дошкольному образованию (к структуре программы и ее объему, условиям реализации и результатам освоения программы).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>Он является основой для разработки программы, вариативных примерных образовательных программ,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образования. Кроме того, стандарт используется для оценки соответствия образовательной деятельности организации указанным требованиям,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>Положения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20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Приказ Министерства здравоохранения и социального развития Российской Федерации от </w:t>
              </w:r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lastRenderedPageBreak/>
                <w:t>26.08.2010 № 761н «Об утверждении Единого квалификационного справочника должностей руководителей, специалистов и служащих» Раздел «Квалификационные характеристики должностей работников образования». Извлечения.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A83C73" w:rsidRDefault="00A83C73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lastRenderedPageBreak/>
              <w:t xml:space="preserve">I. Общие положения                                                                   </w:t>
            </w:r>
            <w:r w:rsidR="00C80269" w:rsidRPr="00A83C73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II. Должности руководителей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-Руководитель (директор, заведующий, начальник) образовательного учреждения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-Заместитель руководителя (директора, заведующего, начальника) образовательного учреждения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-Руководитель (заведующий, начальник, директор, управляющий) структурного подразделения</w:t>
            </w:r>
          </w:p>
          <w:p w:rsidR="00C80269" w:rsidRPr="00A83C73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</w:pPr>
            <w:r w:rsidRPr="00A83C73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III. Должности педагогических работников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-Педагог-организатор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-Социальный педагог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-Учитель-дефектолог, учитель-логопед (логопед)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-Педагог-психолог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-Воспитатель (включая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старшего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)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-Педагог дополнительного образования (включая старшего)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-Музыкальный руководитель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-Инструктор по физической культуре</w:t>
            </w:r>
          </w:p>
          <w:p w:rsidR="00C80269" w:rsidRPr="00A83C73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</w:pPr>
            <w:r w:rsidRPr="00A83C73">
              <w:rPr>
                <w:rFonts w:ascii="PT Sans" w:eastAsia="Times New Roman" w:hAnsi="PT Sans" w:cs="Times New Roman"/>
                <w:b/>
                <w:sz w:val="20"/>
                <w:szCs w:val="20"/>
                <w:lang w:eastAsia="ru-RU"/>
              </w:rPr>
              <w:t>IV. Должности учебно-вспомогательного персонала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-Помощник воспитателя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-Младший воспитатель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-Секретарь учебной части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 xml:space="preserve">Установлены новые квалификационные характеристики должностей работников образования. Они содержат должностные обязанности, требования к уровню знаний и квалификации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работников.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Характеристики применяются для разработки должностных инструкций и могут использоваться всеми образовательными организациями. Конкретный перечень должностных обязанностей определяется с учетом особенностей организации труда и управления.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Приведены квалификационные характеристики должностей руководителей, педагогических работников и учебно-вспомогательного персонала.</w:t>
            </w:r>
          </w:p>
          <w:p w:rsidR="00C80269" w:rsidRPr="00C80269" w:rsidRDefault="00C80269" w:rsidP="00A83C73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Все работники образования независимо от занимаемой должности обязаны знать нормативно-правовые акты, регламентирующие образовательную деятельность; Конвенцию о правах ребенка; психологические и физиологические особенности разных детских возрастов; современные образовательные технологии; компьютерные программы по организации образовательного процесса; правила внутреннего трудового распорядка, охраны</w:t>
            </w:r>
            <w:r w:rsidR="00A83C73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труда и пожарной безопасности.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color w:val="444444"/>
                <w:sz w:val="21"/>
                <w:szCs w:val="21"/>
                <w:lang w:eastAsia="ru-RU"/>
              </w:rPr>
            </w:pPr>
            <w:hyperlink r:id="rId21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Приказ Министерства образования и науки Российской Федерации (</w:t>
              </w:r>
              <w:proofErr w:type="spellStart"/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Минобрнауки</w:t>
              </w:r>
              <w:proofErr w:type="spellEnd"/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 России) от 24 марта 2010 г. № 209 "О порядке аттестации педагогических работников государственных и муниципальных образовательных учреждений"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В приложении к приказу: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I. Общие положения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II. Формирование аттестационных комиссий, их состав и порядок работы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III. Порядок аттестации педагогических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работников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с целью подтверждения соответствия занимаемой должности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IV. Порядок аттестации педагогических работников для установления соответствия уровня их квалификации требованиям, предъявляемым к квалификационным категориям (первой или высшей)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Цель аттестации - установить соответствие педагога квалификационной категории (первой или высшей), а также занимаемой должности.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Аттестационная комиссия для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региональных и муниципальных учреждений формируется региональным органом в сфере образования. Для педагогов федерального учреждения - органом, в ведении которого оно находится. В состав комиссий, в частности, входят представители профсоюзов, научных организаций и общественных объединений, органов самоуправления образовательных учреждений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(попечительских и педсоветов и др.), работники образовательных учреждений. Графики работы комиссий ежегодно утверждаются соответствующими органами.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Аттестация с целью подтверждения соответствия занимаемой должности проводится 1 раз в 5 лет. Ее проходят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педработники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, не имеющих квалификационных категорий. Аттестации не подлежат педагоги, отработавшие менее 2 лет, а также женщины, находящиеся в декретном отпуске.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Педработник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уведомляется об аттестации не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чем за месяц до ее начала.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Аттестация в целях установления квалификационной категории проводится по заявлению педагога. Оно рассматривается в течение месяца.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Решение комиссии оформляется протоколом и заносится в аттестационный лист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педработника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. Оно утверждается госорганом в сфере образования. Аттестационный лист и выписка из акта госоргана направляются работодателю.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В случае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непрохождения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аттестации педагог увольняется либо с его согласия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переводится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на другую имеющуюся работу.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Квалификационные категории, присвоенные до 1 января 2011 г., сохраняются в течение срока, на который они были присвоены.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22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Постановление Главного государственного санитарного врача Российской Федерации от 15.05.2013 № 26 г. Москва «Об утверждении </w:t>
              </w:r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lastRenderedPageBreak/>
      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I. Общие положения и область применения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II. Требования к размещению дошкольных образовательных организаций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III. Требования к оборудованию и содержанию территорий дошкольных образовательных организаций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IV. Требования к зданию, помещениям, оборудованию и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их содержанию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V. Требования к внутренней отделке помещений дошкольных образовательных организаций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VI. Требования к размещению оборудования в помещениях дошкольных образовательных организаций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VII. Требования к естественному и искусственному освещению помещений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VIII. Требования к отоплению и вентиляции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IX. Требования к водоснабжению и канализации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X. Требования к дошкольным образовательным организациям и группам для детей с ограниченными возможностями здоровья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XI. Требования к приему детей в дошкольные образовательные организации, режиму дня и организации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-образовательного процесса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XII. Требования к организации физического воспитания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XIII. Требования к оборудованию пищеблока, инвентарю, посуде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XIV. Требования к условиям хранения, приготовления и реализации пищевых продуктов и кулинарных изделий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XV. Требования к составлению меню для организации питания детей разного возраста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XVI. Требования к перевозке и приему пищевых продуктов в дошкольные образовательные организации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XVII. Требования к санитарному содержанию помещений дошкольных образовательных организаций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XIX. Требования к прохождению профилактических медицинских осмотров, гигиенического воспитания и обучения, личной гигиене персонала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XX. Требования к соблюдению санитарных правил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Пересмотрены санитарно-эпидемиологические требования к устройству, содержанию и организации режима работы дошкольных образовательных организаций.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Они не распространяются на семейные группы, размещенные в жилых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квартирах (домах).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Сады могут быть с кратковременным (до 5 ч в день) или круглосуточным пребыванием, а также сокращенного (8-10 ч), полного (10,5-12 ч) и продленного (13-14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)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дня. Длительность нахождения ребенка в садике зависит от возможности организовать прием пищи (через каждые 3-4 ч) и дневной сон (при пребывании более 5 ч).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В дошкольную организацию по-прежнему принимаются дети в возрасте от 2 месяцев до 7 лет. Требования к предельной наполняемости групп также не изменились (к примеру, для садов общеразвивающей направленности на 1 ребенка до 3 лет должно приходиться не менее 2,5 кв. м игровой комнаты, от 3 до 7 лет - не менее 2 кв. м).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Детсады располагаются на внутриквартальных территориях жилых микрорайонов. При этом должны соблюдаться нормативные уровни шума, загрязнения атмосферного воздуха, инсоляции и естественного освещения. В районах Крайнего Севера обеспечивается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ветро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- и снегозащита. Остальные требования к размещению детсадов отменены (в частности, минимальный радиус пешеходной доступности, расстояние до проездов, отсутствие магистральных инженерных коммуникаций городского (сельского) назначения).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Установлено, что постельное белье маркируется индивидуально для каждого ребенка. Ревизия, очистка и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эффективностью работы вентиляционных систем осуществляется не реже 1 раза в год.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Температура в ясельных игровых и приемных комнатах должна быть не менее 22 градусов, в остальных группах - не ниже 21, в спальнях - не менее 19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(ранее - 22-24, 21-23 и 19-20 градусов соответственно).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Общая продолжительность дневного сна детей в возрасте от 1 до 1,5 лет составляет до 3,5 ч, от 1,5 до 3 лет - не менее 3 ч,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3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7 лет - 2-2,5 ч.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Уточнен список продуктов, запрещенных для питания детей. Теперь в него входит все мороженое, а не только с содержанием растительных жиров. В то же время из перечня исключены сырокопченые,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полукопченые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, подкопченные мясные гастрономические изделия и колбасы, а также бульоны, приготовленные на основе костей, и замороженное мясо птицы.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23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Приказ </w:t>
              </w:r>
              <w:r w:rsidRPr="00A83C73">
                <w:rPr>
                  <w:rFonts w:ascii="PT Sans" w:eastAsia="Times New Roman" w:hAnsi="PT Sans" w:cs="Times New Roman"/>
                  <w:b/>
                  <w:sz w:val="16"/>
                  <w:szCs w:val="16"/>
                  <w:lang w:eastAsia="ru-RU"/>
                </w:rPr>
                <w:t>Министерства образования и науки Российской Федерации (</w:t>
              </w:r>
              <w:proofErr w:type="spellStart"/>
              <w:r w:rsidRPr="00A83C73">
                <w:rPr>
                  <w:rFonts w:ascii="PT Sans" w:eastAsia="Times New Roman" w:hAnsi="PT Sans" w:cs="Times New Roman"/>
                  <w:b/>
                  <w:sz w:val="16"/>
                  <w:szCs w:val="16"/>
                  <w:lang w:eastAsia="ru-RU"/>
                </w:rPr>
                <w:t>Минобрнауки</w:t>
              </w:r>
              <w:proofErr w:type="spellEnd"/>
              <w:r w:rsidRPr="00A83C73">
                <w:rPr>
                  <w:rFonts w:ascii="PT Sans" w:eastAsia="Times New Roman" w:hAnsi="PT Sans" w:cs="Times New Roman"/>
                  <w:b/>
                  <w:sz w:val="16"/>
                  <w:szCs w:val="16"/>
                  <w:lang w:eastAsia="ru-RU"/>
                </w:rPr>
                <w:t xml:space="preserve"> России) от 30.08.2013 № 1014 г. Москва «Об утверждении </w:t>
              </w:r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I. Общие положения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II. Организация и осуществление образовательной деятельности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III. Особенности организации образовательной деятельности для лиц с ограниченными возможностями здоровья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Утвержден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Признан утратившим силу приказ Министерства образования и науки Российской Федерации от 27 октября 2011 г. N 2562 "Об утверждении Типового положения о дошкольном образовательном учреждении".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 xml:space="preserve">Приказ </w:t>
            </w:r>
            <w:r w:rsidRPr="00A83C73">
              <w:rPr>
                <w:rFonts w:ascii="PT Sans" w:eastAsia="Times New Roman" w:hAnsi="PT Sans" w:cs="Times New Roman"/>
                <w:b/>
                <w:sz w:val="16"/>
                <w:szCs w:val="16"/>
                <w:lang w:eastAsia="ru-RU"/>
              </w:rPr>
              <w:t>Министерства образования и науки Российской Федерации (</w:t>
            </w:r>
            <w:proofErr w:type="spellStart"/>
            <w:r w:rsidRPr="00A83C73">
              <w:rPr>
                <w:rFonts w:ascii="PT Sans" w:eastAsia="Times New Roman" w:hAnsi="PT Sans" w:cs="Times New Roman"/>
                <w:b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A83C73">
              <w:rPr>
                <w:rFonts w:ascii="PT Sans" w:eastAsia="Times New Roman" w:hAnsi="PT Sans" w:cs="Times New Roman"/>
                <w:b/>
                <w:sz w:val="16"/>
                <w:szCs w:val="16"/>
                <w:lang w:eastAsia="ru-RU"/>
              </w:rPr>
              <w:t xml:space="preserve"> России) от 20 сентября 2013 г. N 1082 г. Москва</w:t>
            </w:r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> </w:t>
            </w:r>
            <w:hyperlink r:id="rId24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"Об утверждении Положения о психолого-медико-педагогической комиссии"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В приложении к приказу положение о психолого-медико-педагогической комиссии: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I. Общие положения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II. Основные направления деятельности и права комиссии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II. Основные направления деятельности и права комиссии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Психолого-медико-педагогическая комиссия  создается, чтобы своевременно выявлять детей с особенностями в физическом и (или) психическом развитии и (или) отклонениями в поведении. Комиссия проводит их комплексное психолого-медико-педагогическое обследование и дает рекомендации по оказанию им психолого-медико-педагогической помощи, организации их обучения и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воспитания.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Состав комиссии и порядок ее формирования не изменились.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Расширены полномочия комиссии. Она вправе проводить мониторинг, как учитываются ее рекомендации по обучению и воспитанию детей в образовательных организациях и в семье (с согласия родителей). Также на комиссию возложен учет данных о детях с ограниченными возможностями здоровья и (или)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девиантным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(общественно опасным) поведением, проживающих на подведомственной территории.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Прописана процедура обследования детей в комиссии. Это возможно по письменному заявлению родителей или по направлению соответствующей организации с письменного согласия родителей. Медицинское обследование детей 15 лет и старше допускается только с их согласия. Все обследования и консультации бесплатны.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Родители могут присутствовать при обследовании, обсуждать его результаты. Заключение комиссии носит для родителей рекомендательный характер. При несогласии с ним они вправе его обжаловать.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Для остальных органов и организаций заключение комиссии является основанием для создания соответствующих условий обучения и воспитания ребенка.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Вся информация, связанная с обследованием детей в комиссии, является конфиденциальной.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Предоставлять ее кому бы то ни было без письменного согласия родителей запрещено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(исключение - предусмотренные законом случаи).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color w:val="444444"/>
                <w:sz w:val="21"/>
                <w:szCs w:val="21"/>
                <w:lang w:eastAsia="ru-RU"/>
              </w:rPr>
            </w:pPr>
            <w:hyperlink r:id="rId25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Методические рекомендации по реализации </w:t>
              </w:r>
              <w:proofErr w:type="gramStart"/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полномочий органов государственной власти субъектов Российской Федерации</w:t>
              </w:r>
              <w:proofErr w:type="gramEnd"/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 по финансовому обеспечению оказания государственных и муниципальных услуг в сфере дошкольного образования. Письмо Министерства образования и науки РФ от 01.10. 2013 № 08-1408.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I.Общие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положения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II. Подходы к установлению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нормативов финансового обеспечения государственных гарантий реализации прав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III. Подходы к установлению нормативов финансового обеспечения организации предоставления общедоступного и бесплатного дошкольного образования по основным общеобразовательным программам в государственных (муниципальных) образовательных организациях, а также создание условий для осуществления присмотра и ухода за детьми, содержания детей в государственных (муниципальных) образовательных организациях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IV. Подходы к разработке порядка финансового обеспечения услуг по присмотру и уходу за детьми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Согласно новому Закону об образовании органы государственные власти регионов устанавливают нормативы затрат на оказание государственных и муниципальных услуг в сфере дошкольного образования.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Порядок формирования, ведения и утверждения ведомственных перечней таких услуг определяется высшими исполнительными органами власти субъектов Российской Федерации, местными администрациями муниципальных образований. Учитываются установленные Правительством РФ требования.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Применительно к дошкольному образованию Закон содержит нормы, позволяющие выделить услуги, которые могут быть включены в перечень. Речь идет об обеспечении прав на получение доступного и бесплатного образования, о создании условий для присмотра и ухода за детьми, для их содержания и т. п.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 1 января 2014 г. начнет действовать новое распределение полномочий. За счет субъекта реализуются дошкольные общеобразовательные программы в муниципальных учреждениях путем предоставления субвенций местным бюджетам. Включаются расходы на оплату труда, на приобретение учебных пособий, средств обучения, игрушек. Иные затраты, в том числе на содержание зданий и оплату коммунальных услуг, покрываются из бюджетов муниципальных образований.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Таким образом, необходимо разработать комплекс нормативных правовых актов, определяющих объемы финансового обеспечения не только реализации основной общеобразовательной программы, но и создания условий для присмотра и ухода, а также установления компенсации части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родительской платы для отдельных категорий лиц.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Перечислены виды актов. На уровне региона - методика расчета нормативов затрат на обеспечение реализации прав на общедоступное и бесплатное дошкольное образование в муниципальных организациях; методика расчета субвенций, предоставляемых местным бюджетам; порядок установления среднего размера родительской платы за присмотр и уход за детьми; процедура обращения за получением компенсации части платы. Определены виды актов, разрабатываемых на уровне учредителя. В их числе - порядок установления категорий родителей, которые освобождаются от оплаты услуг по присмотру и уходу или для которых соответствующая сумма снижается.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Приводятся подходы к установлению и методика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расчета нормативов финансового обеспечения реализации прав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на общедоступное и бесплатное дошкольное образование в муниципальных организациях.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color w:val="444444"/>
                <w:sz w:val="21"/>
                <w:szCs w:val="21"/>
                <w:lang w:eastAsia="ru-RU"/>
              </w:rPr>
            </w:pPr>
            <w:hyperlink r:id="rId26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Постановление Правительства РФ от 5 августа 2013г. № 662 «Об осуществлении мониторинга системы образования»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1.Правила осуществления мониторинга системы образования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2.Перечень обязательной информации о системе образования, подлежащей мониторингу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Мониторинг  включает сбор, обработку, систематизацию и хранение информации о системе образования. На основе этих сведений проводится непрерывный системный анализ состояния и перспектив развития образования.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 xml:space="preserve">Распределены полномочия государственных и местных органов по проведению мониторинга. Так,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Рособрнадзор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собирает и анализирует информацию в части контроля качества образования и выявления нарушений законодательства.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 xml:space="preserve">В целях мониторинга используются данные федерального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статнаблюдения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, обследований (в т. ч. социологических) образовательных организаций, сведения, размещенные в сети Интернет и СМИ. Также учитывается информация,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поступившая от организаций и граждан.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>Мониторинг проводится не реже 1 раза в год. Его процедура, сроки и показатели устанавливаются уполномоченными органами.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 xml:space="preserve">Отчет о результатах мониторинга размещается на официальном сайте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России.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>Закреплен перечень обязательной информации о системе образования, подлежащей мониторингу.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27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Приказ Министерства образования и науки РФ от 27 марта 2006 г. N 69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br/>
            </w:r>
            <w:hyperlink r:id="rId28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"Об особенностях режима рабочего времени и времени отдыха педагогических и других работников образовательных учреждений"</w:t>
              </w:r>
            </w:hyperlink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Приложение к приказу «Положение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>об особенностях режима рабочего времени и времени отдыха педагогических и других работников образовательных учреждений»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Положение об особенностях режима рабочего времени и времени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отдыха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педагогических и других работников образовательных учреждений согласовано с Министерством здравоохранения и социального развития Российской Федерации, Профессиональным союзом работников народного образования и науки Российской Федерации, Общероссийским объединенным профсоюзом работников здравоохранения, образования, культуры, городского транспорта, энергетики, государственных и муниципальных организаций, сферы обслуживания "Объединения профсоюзов России СОЦПРОФ" и Российским профессиональным союзом учителей.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29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Приказ Министерства образования и науки РФ от 24 декабря 2010 г. N 2075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br/>
            </w:r>
            <w:hyperlink r:id="rId30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"О продолжительности рабочего времени (норме часов педагогической работы за ставку заработной платы) педагогических работников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>"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jc w:val="center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Приложение к приказу «Продолжительность рабочего времени (норма часов педагогической работы за ставку заработной платы) педагогических работников».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Установлена педагогическим работникам в зависимости от должности и (или) специальности с учетом особенностей их труда продолжительность рабочего времени (норму часов педагогической работы за ставку заработной платы).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Признан утратившим силу постановление Правительства Российской Федерации от 3 апреля 2003 г. N 191 "О продолжительности рабочего времени (норме часов педагогической работы за ставку заработной платы) педагогических работников".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color w:val="444444"/>
                <w:sz w:val="21"/>
                <w:szCs w:val="21"/>
                <w:lang w:eastAsia="ru-RU"/>
              </w:rPr>
            </w:pPr>
            <w:hyperlink r:id="rId31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Постановление </w:t>
              </w:r>
              <w:r w:rsidRPr="006B5BE7">
                <w:rPr>
                  <w:rFonts w:ascii="PT Sans" w:eastAsia="Times New Roman" w:hAnsi="PT Sans" w:cs="Times New Roman"/>
                  <w:b/>
                  <w:sz w:val="16"/>
                  <w:szCs w:val="16"/>
                  <w:lang w:eastAsia="ru-RU"/>
                </w:rPr>
                <w:lastRenderedPageBreak/>
                <w:t>Правительства Российской Федерации от 8 августа 2013 г. N 678 г. Москва</w:t>
              </w:r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 xml:space="preserve">I. Должности педагогических работников организаций,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осуществляющих образовательную деятельность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II. Должности руководителей образовательных организаций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Примечания.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 xml:space="preserve">Вводится единый подход к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>наименованию должностей педагогических работников для всех образовательных организаций.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>Утверждена номенклатура должностей педагогических работников, а также руководителей образовательных организаций.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br/>
              <w:t>Она устанавливает единый подход к наименованию должностей указанных сотрудников во всех организациях, осуществляющих образовательную деятельность.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color w:val="444444"/>
                <w:sz w:val="21"/>
                <w:szCs w:val="21"/>
                <w:lang w:eastAsia="ru-RU"/>
              </w:rPr>
            </w:pPr>
            <w:hyperlink r:id="rId32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Постановление Правительства РФ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Даны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Образовательные организации размещают на своих сайтах следующие данные. Это сведения о дате создания организации, ее учредителях, месте нахождения, графике работы, уровне образования, формах обучения. Также публикуется информация о сроке действия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госаккредитации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образовательной программы, учебном плане, бюджетных местах, языках, на которых ведется обучение, педагогических работниках, выплачиваемых стипендиях, наличии общежития.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Помимо этого на сайте размещаются копии следующих документов. Это устав образовательной организации, лицензия на осуществление деятельности, свидетельство о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госаккредитации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, план финансово-хозяйственной деятельности и др. Также опубликованию подлежит отчет о результатах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Сведения обновляются в течение 10 рабочих дней после их изменения. Информация представляется в текстовом формате или в форме таблиц.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Сведения публикуются на русском языке. Также могут быть использованы языки республик и иностранные языки. </w:t>
            </w: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 xml:space="preserve">На сайте обязательно должна быть ссылка на сайт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России.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Установлены требования к используемым технологическим и программным средствам.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33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Постановление Правительства РФ от 15 августа 2013 г. N 706 "Об утверждении Правил оказания платных образовательных услуг"</w:t>
              </w:r>
            </w:hyperlink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Даны правила оказания платных образовательных услуг.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В связи с принятием нового Закона об образовании заново утверждены правила оказания платных образовательных услуг.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Платные услуги не могут быть оказаны вместо образовательной деятельности, финансируемой из бюджета. Средства, полученные при предоставлении таких услуг, возвращаются оплатившим их лицам.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Организации, осуществляющие образовательную деятельность за счет бюджета, вправе оказывать платные образовательные услуги, не предусмотренные государственным или муниципальным заданием либо соглашением о выделении субсидии на возмещение затрат. Это возможно при предоставлении одних и тех же услуг на одинаковых условиях.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Отказ заказчика от предлагаемых ему платных услуг не может быть причиной изменения объема и условий уже предоставляемых ему услуг.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Увеличение стоимости платных услуг после заключения договора не допускается. Исключение - рост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Если в договор включены условия, ограничивающие права поступающих и обучающихся или снижающие уровень предоставления им гарантий, то они не применяются.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lastRenderedPageBreak/>
              <w:t xml:space="preserve">Примерные формы договоров утверждаются федеральным органом исполнительной власти, осуществляющим функции по выработке </w:t>
            </w:r>
            <w:proofErr w:type="spell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госполитики</w:t>
            </w:r>
            <w:proofErr w:type="spell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и нормативно-правовому регулированию в сфере образования.</w:t>
            </w:r>
          </w:p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Акт Правительства РФ об утверждении прежних правил признан утратившим силу. Постановление вступает в силу с 1 сентября 2013 г.</w:t>
            </w:r>
          </w:p>
        </w:tc>
      </w:tr>
      <w:tr w:rsidR="00C80269" w:rsidRPr="00C80269" w:rsidTr="00821344">
        <w:tc>
          <w:tcPr>
            <w:tcW w:w="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2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after="0" w:line="300" w:lineRule="atLeast"/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</w:pPr>
            <w:hyperlink r:id="rId34" w:history="1"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Письмо </w:t>
              </w:r>
              <w:proofErr w:type="spellStart"/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>Минобрнауки</w:t>
              </w:r>
              <w:proofErr w:type="spellEnd"/>
              <w:r w:rsidRPr="00C80269">
                <w:rPr>
                  <w:rFonts w:ascii="PT Sans" w:eastAsia="Times New Roman" w:hAnsi="PT Sans" w:cs="Times New Roman"/>
                  <w:b/>
                  <w:sz w:val="21"/>
                  <w:szCs w:val="21"/>
                  <w:lang w:eastAsia="ru-RU"/>
                </w:rPr>
                <w:t xml:space="preserve"> РФ и Департамента государственной политики в сфере общего образования от 13 января 2014 года № 08-10 </w:t>
              </w:r>
            </w:hyperlink>
            <w:r w:rsidRPr="00C80269">
              <w:rPr>
                <w:rFonts w:ascii="PT Sans" w:eastAsia="Times New Roman" w:hAnsi="PT Sans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C80269" w:rsidRPr="00C80269" w:rsidRDefault="00C80269" w:rsidP="00C80269">
            <w:pPr>
              <w:spacing w:before="100" w:beforeAutospacing="1" w:after="0" w:line="240" w:lineRule="auto"/>
              <w:jc w:val="center"/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Текст письма с приложением плана действий по обеспечению введения ФГОС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0269" w:rsidRPr="00C80269" w:rsidRDefault="00C80269" w:rsidP="00C80269">
            <w:pPr>
              <w:spacing w:before="100" w:beforeAutospacing="1" w:after="100" w:afterAutospacing="1" w:line="300" w:lineRule="atLeast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В документе даны указания о разработке региональных планов, разработанные на основе Плана действий по обеспечению ФГОС ДО,</w:t>
            </w:r>
            <w:r w:rsidR="006B5BE7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 xml:space="preserve">о  создании координационных советов на федеральном, региональном и муниципальном уровне,  призванные обеспечить нормативно-правовое, организационное, кадровое, научно-методическое и информационное сопровождение введения ФГОС </w:t>
            </w:r>
            <w:proofErr w:type="gramStart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.</w:t>
            </w:r>
          </w:p>
          <w:p w:rsidR="00C80269" w:rsidRPr="00C80269" w:rsidRDefault="00C80269" w:rsidP="00C80269">
            <w:pPr>
              <w:spacing w:before="85" w:after="0" w:line="240" w:lineRule="auto"/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</w:pPr>
            <w:r w:rsidRPr="00C80269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D7050" w:rsidRDefault="008D7050"/>
    <w:sectPr w:rsidR="008D7050" w:rsidSect="00C80269">
      <w:foot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53" w:rsidRDefault="009F1053" w:rsidP="00C80269">
      <w:pPr>
        <w:spacing w:after="0" w:line="240" w:lineRule="auto"/>
      </w:pPr>
      <w:r>
        <w:separator/>
      </w:r>
    </w:p>
  </w:endnote>
  <w:endnote w:type="continuationSeparator" w:id="0">
    <w:p w:rsidR="009F1053" w:rsidRDefault="009F1053" w:rsidP="00C8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415886"/>
      <w:docPartObj>
        <w:docPartGallery w:val="Page Numbers (Bottom of Page)"/>
        <w:docPartUnique/>
      </w:docPartObj>
    </w:sdtPr>
    <w:sdtContent>
      <w:p w:rsidR="000875E9" w:rsidRDefault="000875E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E7">
          <w:rPr>
            <w:noProof/>
          </w:rPr>
          <w:t>18</w:t>
        </w:r>
        <w:r>
          <w:fldChar w:fldCharType="end"/>
        </w:r>
      </w:p>
    </w:sdtContent>
  </w:sdt>
  <w:p w:rsidR="000875E9" w:rsidRDefault="000875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53" w:rsidRDefault="009F1053" w:rsidP="00C80269">
      <w:pPr>
        <w:spacing w:after="0" w:line="240" w:lineRule="auto"/>
      </w:pPr>
      <w:r>
        <w:separator/>
      </w:r>
    </w:p>
  </w:footnote>
  <w:footnote w:type="continuationSeparator" w:id="0">
    <w:p w:rsidR="009F1053" w:rsidRDefault="009F1053" w:rsidP="00C8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48D"/>
    <w:multiLevelType w:val="multilevel"/>
    <w:tmpl w:val="87A6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C22B5"/>
    <w:multiLevelType w:val="hybridMultilevel"/>
    <w:tmpl w:val="3608262E"/>
    <w:lvl w:ilvl="0" w:tplc="125840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69"/>
    <w:rsid w:val="000875E9"/>
    <w:rsid w:val="00191406"/>
    <w:rsid w:val="006B5BE7"/>
    <w:rsid w:val="00821344"/>
    <w:rsid w:val="008D7050"/>
    <w:rsid w:val="009F1053"/>
    <w:rsid w:val="00A83C73"/>
    <w:rsid w:val="00B8145B"/>
    <w:rsid w:val="00C8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269"/>
  </w:style>
  <w:style w:type="paragraph" w:styleId="a5">
    <w:name w:val="footer"/>
    <w:basedOn w:val="a"/>
    <w:link w:val="a6"/>
    <w:uiPriority w:val="99"/>
    <w:unhideWhenUsed/>
    <w:rsid w:val="00C8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269"/>
  </w:style>
  <w:style w:type="paragraph" w:styleId="a7">
    <w:name w:val="List Paragraph"/>
    <w:basedOn w:val="a"/>
    <w:uiPriority w:val="34"/>
    <w:qFormat/>
    <w:rsid w:val="00B8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269"/>
  </w:style>
  <w:style w:type="paragraph" w:styleId="a5">
    <w:name w:val="footer"/>
    <w:basedOn w:val="a"/>
    <w:link w:val="a6"/>
    <w:uiPriority w:val="99"/>
    <w:unhideWhenUsed/>
    <w:rsid w:val="00C8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269"/>
  </w:style>
  <w:style w:type="paragraph" w:styleId="a7">
    <w:name w:val="List Paragraph"/>
    <w:basedOn w:val="a"/>
    <w:uiPriority w:val="34"/>
    <w:qFormat/>
    <w:rsid w:val="00B8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8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13572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62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5490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2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smetod.ru/metodicheskoe-prostranstvo/doshkolnoe-obrazovanie/dokumenty/izvlecheniya-iz-federalnoj-tselevoj-programmy-razvitiya-obrazovaniya-na-2011-2015-gody-postanovlenie-pravitelstva-rossijskoj-federatsii-ot-7.html" TargetMode="External"/><Relationship Id="rId18" Type="http://schemas.openxmlformats.org/officeDocument/2006/relationships/hyperlink" Target="http://mosmetod.ru/metodicheskoe-prostranstvo/doshkolnoe-obrazovanie/dokumenty/izvlecheniya-iz-gosudarstvennoj-programmy-rossijskoj-federatsii-razvitie-obrazovaniya-na-2013-2020-gody-utv-rasporyazheniem-pravitelstva-rf.html" TargetMode="External"/><Relationship Id="rId26" Type="http://schemas.openxmlformats.org/officeDocument/2006/relationships/hyperlink" Target="http://mosmetod.ru/metodicheskoe-prostranstvo/documenti/postanovlenie-pravitelstva-rf-ot-05-08-2013-662-ob-osushchestvlenii-monitoringa-sistemy-obrazovaniya-vmeste-s-pravilami-osushchestvleniya-monitoringa-sistemy-obraz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mosmetod.ru/metodicheskoe-prostranstvo/doshkolnoe-obrazovanie/dokumenty/prikaz-ministerstva-obrazovaniya-i-nauki-rossijskoj-federatsii-minobrnauki-rossii-ot-24-marta-2010-g-209-o-poryadke-attestatsii-pedagogiches.html" TargetMode="External"/><Relationship Id="rId34" Type="http://schemas.openxmlformats.org/officeDocument/2006/relationships/hyperlink" Target="http://mosmetod.ru/metodicheskoe-prostranstvo/doshkolnoe-obrazovanie/dokumenty/pismo-minobrnauki-rf-i-departamenta-gosudarstvennoj-politiki-v-sfere-obshchego-obrazovaniya-ot-13-yanvarya-2014-goda-08-10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smetod.ru/metodicheskoe-prostranstvo/doshkolnoe-obrazovanie/dokumenty/izvlecheniya-iz-federalnoj-tselevoj-programmy-razvitiya-obrazovaniya-na-2011-2015-gody-postanovlenie-pravitelstva-rossijskoj-federatsii-ot-7.html" TargetMode="External"/><Relationship Id="rId17" Type="http://schemas.openxmlformats.org/officeDocument/2006/relationships/hyperlink" Target="http://mosmetod.ru/metodicheskoe-prostranstvo/doshkolnoe-obrazovanie/dokumenty/izvlecheniya-iz-gosudarstvennoj-programmy-rossijskoj-federatsii-razvitie-obrazovaniya-na-2013-2020-gody-utv-rasporyazheniem-pravitelstva-rf.html" TargetMode="External"/><Relationship Id="rId25" Type="http://schemas.openxmlformats.org/officeDocument/2006/relationships/hyperlink" Target="http://mosmetod.ru/metodicheskoe-prostranstvo/doshkolnoe-obrazovanie/dokumenty/metodicheskie-rekomendatsii-po-realizatsii-polnomochij-organov-gosudarstvennoj-vlasti-sub-ektov-rossijskoj-federatsii-po-finansovomu-obespec.html" TargetMode="External"/><Relationship Id="rId33" Type="http://schemas.openxmlformats.org/officeDocument/2006/relationships/hyperlink" Target="http://mosmetod.ru/metodicheskoe-prostranstvo/documenti/postanovlenie-pravitelstva-rf-ot-15-08-2013-n-706-ob-utverzhdenii-pravil-okazaniya-platnykh-obrazovatelnykh-uslu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smetod.ru/metodicheskoe-prostranstvo/doshkolnoe-obrazovanie/dokumenty/izvlecheniya-iz-gosudarstvennoj-programmy-rossijskoj-federatsii-razvitie-obrazovaniya-na-2013-2020-gody-utv-rasporyazheniem-pravitelstva-rf.html" TargetMode="External"/><Relationship Id="rId20" Type="http://schemas.openxmlformats.org/officeDocument/2006/relationships/hyperlink" Target="http://mosmetod.ru/metodicheskoe-prostranstvo/doshkolnoe-obrazovanie/dokumenty/prikaz-ministerstva-zdravookhraneniya-i-sotsialnogo-razvitiya-rossijskoj-federatsii-ot-26-08-2010-761n-ob-utverzhdenii-edinogo-kvalifikatsio.html" TargetMode="External"/><Relationship Id="rId29" Type="http://schemas.openxmlformats.org/officeDocument/2006/relationships/hyperlink" Target="http://mosmetod.ru/metodicheskoe-prostranstvo/doshkolnoe-obrazovanie/dokumenty/prodolzhitelnost-rabochego-vremen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smetod.ru/metodicheskoe-prostranstvo/doshkolnoe-obrazovanie/dokumenty/izvlecheniya-iz-federalnoj-tselevoj-programmy-razvitiya-obrazovaniya-na-2011-2015-gody-postanovlenie-pravitelstva-rossijskoj-federatsii-ot-7.html" TargetMode="External"/><Relationship Id="rId24" Type="http://schemas.openxmlformats.org/officeDocument/2006/relationships/hyperlink" Target="http://mosmetod.ru/metodicheskoe-prostranstvo/doshkolnoe-obrazovanie/dokumenty/pmpk.html" TargetMode="External"/><Relationship Id="rId32" Type="http://schemas.openxmlformats.org/officeDocument/2006/relationships/hyperlink" Target="http://mosmetod.ru/metodicheskoe-prostranstvo/documenti/postanovlenie-pravitelstva-rf-ot-10-07-2013-582-ob-utverzhdenii-pravil-razmeshcheniya-na-ofitsialnom-sajte-obrazovatelnoj-organizatsii-v-informatsionno-telekommuni.html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mosmetod.ru/metodicheskoe-prostranstvo/doshkolnoe-obrazovanie/dokumenty/ukaz-prezidenta-rf-ot-1-iyunya-2012-g-n-761-o-natsionalnoj-strategii-dejstvij-v-interesakh-detej-na-2012-2017-gody.html" TargetMode="External"/><Relationship Id="rId23" Type="http://schemas.openxmlformats.org/officeDocument/2006/relationships/hyperlink" Target="http://mosmetod.ru/metodicheskoe-prostranstvo/doshkolnoe-obrazovanie/dokumenty/prikaz-ot-30-08-2013-g-1014.html" TargetMode="External"/><Relationship Id="rId28" Type="http://schemas.openxmlformats.org/officeDocument/2006/relationships/hyperlink" Target="http://mosmetod.ru/metodicheskoe-prostranstvo/doshkolnoe-obrazovanie/dokumenty/prikaz-ministerstva-obrazovaniya-i-nauki-rf-ot-27-marta-2006-g-n-69-ob-osobennostyakh-rezhima-rabochego-vremeni-i-vremeni-otdykha-pedagogich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osmetod.ru/metodicheskoe-prostranstvo/doshkolnoe-obrazovanie/dokumenty/izvlecheniya-iz-federalnoj-tselevoj-programmy-razvitiya-obrazovaniya-na-2011-2015-gody-postanovlenie-pravitelstva-rossijskoj-federatsii-ot-7.html" TargetMode="External"/><Relationship Id="rId19" Type="http://schemas.openxmlformats.org/officeDocument/2006/relationships/hyperlink" Target="http://mosmetod.ru/metodicheskoe-prostranstvo/doshkolnoe-obrazovanie/fgos/fgos-do.html" TargetMode="External"/><Relationship Id="rId31" Type="http://schemas.openxmlformats.org/officeDocument/2006/relationships/hyperlink" Target="http://mosmetod.ru/metodicheskoe-prostranstvo/documenti/postanovlenie-pravitelstva-rf-ot-08-08-2013-n-678-ob-utverzhdenii-nomenklatury-dolzhnostej-pedagogicheskikh-rabotnikov-organizatsij-osushchestvlyayushchikh-obraz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smetod.ru/metodicheskoe-prostranstvo/documenti/federalnyj-zakon-rossijskoj-federatsii-ot-29-dekabrya-2012-g-n-273-fz.html" TargetMode="External"/><Relationship Id="rId14" Type="http://schemas.openxmlformats.org/officeDocument/2006/relationships/hyperlink" Target="http://mosmetod.ru/metodicheskoe-prostranstvo/doshkolnoe-obrazovanie/dokumenty/izvlecheniya-iz-federalnoj-tselevoj-programmy-razvitiya-obrazovaniya-na-2011-2015-gody-postanovlenie-pravitelstva-rossijskoj-federatsii-ot-7.html" TargetMode="External"/><Relationship Id="rId22" Type="http://schemas.openxmlformats.org/officeDocument/2006/relationships/hyperlink" Target="http://mosmetod.ru/metodicheskoe-prostranstvo/doshkolnoe-obrazovanie/dokumenty/sanpin-2-4-1-3049-13.html" TargetMode="External"/><Relationship Id="rId27" Type="http://schemas.openxmlformats.org/officeDocument/2006/relationships/hyperlink" Target="http://mosmetod.ru/metodicheskoe-prostranstvo/doshkolnoe-obrazovanie/dokumenty/prikaz-ministerstva-obrazovaniya-i-nauki-rf-ot-27-marta-2006-g-n-69-ob-osobennostyakh-rezhima-rabochego-vremeni-i-vremeni-otdykha-pedagogich.html" TargetMode="External"/><Relationship Id="rId30" Type="http://schemas.openxmlformats.org/officeDocument/2006/relationships/hyperlink" Target="http://mosmetod.ru/metodicheskoe-prostranstvo/doshkolnoe-obrazovanie/dokumenty/prodolzhitelnost-rabochego-vremeni.htm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55A2-C7A2-471D-88D3-D1FC6A7B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7703</Words>
  <Characters>43911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2014-06-03T05:42:00Z</cp:lastPrinted>
  <dcterms:created xsi:type="dcterms:W3CDTF">2014-06-03T04:58:00Z</dcterms:created>
  <dcterms:modified xsi:type="dcterms:W3CDTF">2014-06-03T05:43:00Z</dcterms:modified>
</cp:coreProperties>
</file>